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50FF" w14:textId="573E8F2C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sz w:val="28"/>
          <w:szCs w:val="28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2022 年报税季从1月24日开始；美国国税局概述了退税时间以及在4月18日</w:t>
      </w:r>
      <w:r w:rsidR="00190902"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报</w:t>
      </w: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税截止日之前的注意事项</w:t>
      </w:r>
    </w:p>
    <w:p w14:paraId="55C42B44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1BCA75E" w14:textId="455308AE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IR-2022-</w:t>
      </w:r>
      <w:r w:rsidR="00842B0B" w:rsidRPr="00873FB5">
        <w:rPr>
          <w:rFonts w:ascii="Microsoft YaHei" w:eastAsia="Microsoft YaHei" w:hAnsi="Microsoft YaHei"/>
          <w:sz w:val="20"/>
          <w:szCs w:val="20"/>
          <w:lang w:eastAsia="zh-CN"/>
        </w:rPr>
        <w:t>08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，2022 年 1 月 </w:t>
      </w:r>
      <w:r w:rsidR="00842B0B" w:rsidRPr="00873FB5">
        <w:rPr>
          <w:rFonts w:ascii="Microsoft YaHei" w:eastAsia="Microsoft YaHei" w:hAnsi="Microsoft YaHei"/>
          <w:sz w:val="20"/>
          <w:szCs w:val="20"/>
          <w:lang w:eastAsia="zh-CN"/>
        </w:rPr>
        <w:t>10</w:t>
      </w:r>
      <w:r w:rsidRPr="00873FB5">
        <w:rPr>
          <w:rFonts w:ascii="Microsoft YaHei" w:eastAsia="Microsoft YaHei" w:hAnsi="Microsoft YaHei"/>
          <w:sz w:val="20"/>
          <w:szCs w:val="20"/>
          <w:lang w:eastAsia="zh-CN"/>
        </w:rPr>
        <w:t xml:space="preserve"> 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日</w:t>
      </w:r>
    </w:p>
    <w:p w14:paraId="1D6DAEEC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13DC4B2F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华府 — 美国国税局宣布，全国报税季将于 2022 年 1 月 24 日星期一开始，届时国税局将开始接受和处理 2021 年纳税年度的税表。</w:t>
      </w:r>
    </w:p>
    <w:p w14:paraId="053D0D70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1239407B" w14:textId="3746CF2D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个人报税的开始日期定为 1 月 24 日，该日期给了国税局时间来进行编程和测试，这对确保国税局系统顺利运行至关重要。更新的程序有助于确保符合条件的纳税人在提交2021年税表时，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可以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通过核对其2021子女税预付款来申领正确的子女税优惠款额，并且以纾困金退税额的方式来申请剩余的刺激计划补助金。</w:t>
      </w:r>
    </w:p>
    <w:p w14:paraId="396B6A67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8DDC257" w14:textId="083411C4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“为全国报税季做规划是一项艰巨的任务，过去几个月来，国税局团队一直在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不懈的努力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以便作好充足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准备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工作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。” 国税局局长Chuck Rettig 表示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“新冠疫情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继续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带来挑战，但国税局提醒大家，可以采取一些重要步骤来确保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自己的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税表和退税不会被延迟处理。今年特别重要的一点是，鼓励大家以电子方式报税并使用经转帐直接存款、而不是使用纸质申报表。我们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特别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敦促那些去年收到经济影响补助金或子女税优惠预付款的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民众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。大家应该确保在</w:t>
      </w:r>
      <w:r w:rsidR="0019090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其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税表上报告正确的金额，以避免延误。 "</w:t>
      </w:r>
    </w:p>
    <w:p w14:paraId="1E75640A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188BA4B5" w14:textId="61EF0AD5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国税局鼓励每个人都准备好所有信息，以便提交完整准确的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税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表，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从而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避免出现处理、退税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延误以及之后的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国税局通知。这对于在 2021 年收到子女税优惠预付款或经济影响补助金的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民众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尤其重要；他们在准备税表时需要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知道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这些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款项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的金额。国税局正在向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这些人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寄</w:t>
      </w:r>
      <w:r w:rsidR="00FC4AD6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送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特殊信件，纳税人也可以在国税局官网 IRS.gov 上查看相关金额。</w:t>
      </w:r>
    </w:p>
    <w:p w14:paraId="403A7BC3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7F62660A" w14:textId="1BDDB4AA" w:rsidR="003F197C" w:rsidRDefault="003F197C" w:rsidP="003F197C">
      <w:pPr>
        <w:rPr>
          <w:rFonts w:eastAsia="Times New Roman" w:cs="Calibri"/>
          <w:lang w:eastAsia="zh-CN"/>
        </w:rPr>
      </w:pPr>
      <w:r>
        <w:rPr>
          <w:rFonts w:ascii="Microsoft YaHei" w:eastAsia="Microsoft YaHei" w:hAnsi="Microsoft YaHei" w:hint="eastAsia"/>
          <w:color w:val="000000"/>
          <w:sz w:val="20"/>
          <w:szCs w:val="20"/>
          <w:lang w:eastAsia="zh-CN"/>
        </w:rPr>
        <w:t xml:space="preserve">与去年一样，有人即使不需要报税，也应该提交 2021年税表，从而申请2021年刺激经济补助金的纾困金退税额或核对子女税优惠预付款。通常不需要报税的人也可能获得其它抵免。 </w:t>
      </w:r>
    </w:p>
    <w:p w14:paraId="1EAAB0AC" w14:textId="7CF18D15" w:rsidR="006B316D" w:rsidRPr="00791C87" w:rsidRDefault="006B316D" w:rsidP="00791C87">
      <w:pPr>
        <w:pStyle w:val="Body"/>
      </w:pPr>
    </w:p>
    <w:p w14:paraId="19462F50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大多数人的报税截止日期为 4 月 18 日</w:t>
      </w:r>
    </w:p>
    <w:p w14:paraId="3491D5F9" w14:textId="21DDBEC9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对于大多数纳税人，提交 2021 年纳税申报表、或申请延期提交和缴纳所欠税款的截止日为 2022 年 4 月 18 日，星期一。根据法律，华盛顿特区的假期和联邦假期一样，会影响每个人的纳税截止日期，因此华盛顿特区的解放日假期将所有人的报税截止日从4 月 15 日移至 4 月 18 日，但居住在缅因州或马萨诸塞州的纳税人除外。这两个州的 4 月 18 日为爱国者节，因此他们的报税截止日为2022 年 4 月 19 日。</w:t>
      </w:r>
      <w:r w:rsidR="004741F9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纳税人</w:t>
      </w:r>
      <w:r w:rsidR="004741F9">
        <w:rPr>
          <w:rFonts w:ascii="Microsoft YaHei" w:eastAsia="Microsoft YaHei" w:hAnsi="Microsoft YaHei" w:hint="eastAsia"/>
          <w:sz w:val="20"/>
          <w:szCs w:val="20"/>
          <w:lang w:eastAsia="zh-CN"/>
        </w:rPr>
        <w:t>如果</w:t>
      </w:r>
      <w:r w:rsidR="003435E4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申请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延期，则必须在 2022 年 10 月 17 日星期一之前提交税表。</w:t>
      </w:r>
    </w:p>
    <w:p w14:paraId="59CA76FD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743B754" w14:textId="001289C1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等待处理以前的税表？民众仍然可以提交 2021 年的税表</w:t>
      </w:r>
    </w:p>
    <w:p w14:paraId="0BDCEF2E" w14:textId="6380E90E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Rettig 指出，国税局工作人员即使</w:t>
      </w:r>
      <w:r w:rsidR="003F49DD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遭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受新冠疫情的影响，也一直在关键</w:t>
      </w:r>
      <w:r w:rsidR="003F49DD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区域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努力工作，</w:t>
      </w:r>
      <w:r w:rsidR="003F49DD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不论是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处理去年的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lastRenderedPageBreak/>
        <w:t>税表</w:t>
      </w:r>
      <w:r w:rsidR="003F49DD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还是接听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创纪录数</w:t>
      </w:r>
      <w:r w:rsidR="003F49DD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目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的来电。</w:t>
      </w:r>
    </w:p>
    <w:p w14:paraId="35D06D23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17F79EC0" w14:textId="2553DBD6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“在许多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方面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，我们无法提供纳税人和税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务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系统应得和需要的服务和执法。这对纳税人、国税局工作人员和我来说都是令人沮丧的，” Rettig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表示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， “国税局工作人员想要做得更多，我们将在 2022 年利用既有资源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尽我们所能的为大家服务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。我们将继续寻找改进的方法。我们希望提供尽可能多的服务，同时保护我们员工和纳税人的健康和安全。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更多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的资源将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帮助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我们的员工在 2022 年及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未来完成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更多</w:t>
      </w:r>
      <w:r w:rsidR="00875A8C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="00A91472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使命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。”</w:t>
      </w:r>
    </w:p>
    <w:p w14:paraId="1191E6B9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54CF8D0" w14:textId="4A7ADCC4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国税局在努力减少上一年未处理完成的个人税表的积压。截至 2021 年 12 月 3 日，国税局已处理近 1.69 亿份税表。在 2021 年 4 月之前收到的所有纸质和电子</w:t>
      </w:r>
      <w:r w:rsidR="00EC590A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2020年</w:t>
      </w:r>
      <w:r w:rsidR="00EC590A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个人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退税税表，如果没有错误或不需要进一步审查，则退税均已处理</w:t>
      </w:r>
      <w:r w:rsidR="00EC590A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完毕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14F2007B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3093C03" w14:textId="7983A3C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纳税人通常不需要等待</w:t>
      </w:r>
      <w:r w:rsidR="00EC590A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其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2020 年税表完全处理好才能提交 2021年的税表，</w:t>
      </w:r>
      <w:r w:rsidR="00EC590A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而是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可以在准备好时</w:t>
      </w:r>
      <w:r w:rsidR="00EC590A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就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提交。</w:t>
      </w:r>
    </w:p>
    <w:p w14:paraId="345003F3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7CB45857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对纳税人有用的关键信息</w:t>
      </w:r>
    </w:p>
    <w:p w14:paraId="1F37FF66" w14:textId="71FC66CD" w:rsidR="00791C87" w:rsidRPr="00791C87" w:rsidRDefault="00791C87" w:rsidP="00791C87">
      <w:pPr>
        <w:widowControl/>
        <w:rPr>
          <w:rFonts w:ascii="Calibri" w:eastAsia="Times New Roman" w:hAnsi="Calibri" w:cs="Calibri"/>
          <w:lang w:eastAsia="zh-CN"/>
        </w:rPr>
      </w:pPr>
      <w:r w:rsidRPr="00791C87"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国税局鼓励人们在打电话之前使用在线资源。上个申报季，由于新冠疫情的税收变化和带来的挑战，国税局电话系统在 1 月 1 日至 5 月 17 日期间接到了超过 1.45 亿个电话，是往年的四倍多。除了 IRS.gov 之外，国税局还提供各种其它免费选项来帮助纳税人，</w:t>
      </w:r>
      <w:r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其中包括全美各地</w:t>
      </w:r>
      <w:r w:rsidRPr="00791C87"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的免费税务服务（VITA）计划</w:t>
      </w:r>
      <w:r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与</w:t>
      </w:r>
      <w:r w:rsidRPr="00791C87"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老年人税务辅导（TCE）计划</w:t>
      </w:r>
      <w:r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站点，以及</w:t>
      </w:r>
      <w:r w:rsidRPr="00791C87"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国税局的免费报税</w:t>
      </w:r>
      <w:r>
        <w:rPr>
          <w:rFonts w:ascii="Microsoft YaHei" w:eastAsia="Microsoft YaHei" w:hAnsi="Microsoft YaHei" w:cs="Calibri" w:hint="eastAsia"/>
          <w:color w:val="000000"/>
          <w:sz w:val="20"/>
          <w:szCs w:val="20"/>
          <w:lang w:eastAsia="zh-CN"/>
        </w:rPr>
        <w:t>项目。</w:t>
      </w:r>
    </w:p>
    <w:p w14:paraId="07E9EF8D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497BB8E" w14:textId="468B3B8F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“我们的电话量保持在创纪录的水平。” Rettig</w:t>
      </w:r>
      <w:r w:rsidR="00584677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表示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， “我们敦促大家使用国税局官网 IRS.gov 并建立一个在线帐户，以便更快地获取信息。对很多人来说，这是最快、最简单的选择。”</w:t>
      </w:r>
    </w:p>
    <w:p w14:paraId="7BBA74B4" w14:textId="77777777" w:rsidR="00584677" w:rsidRPr="00873FB5" w:rsidRDefault="00584677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C030D6E" w14:textId="0AE6394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去年的平均退税额超过2,800 美元。预计 2021 纳税年度将有超过1.6 亿份个人纳税申报表被提交，其中绝大多数将在传统的 4 月纳税截止日之前提交。</w:t>
      </w:r>
    </w:p>
    <w:p w14:paraId="5C26FC71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05EC0CC3" w14:textId="77777777" w:rsidR="00E64018" w:rsidRPr="00873FB5" w:rsidRDefault="00E64018" w:rsidP="00E64018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总体而言，国税局预计，如果纳税人以电子方式提交、使用经转帐直接存款且纳税申报表没有问题的话，那么大多数人可以在报税后 21 天内收到退税。国税局敦促纳税人和税务专业人士以电子方式提交。大家应尽可能避免提交纸质申报表，以避免延迟处理。</w:t>
      </w:r>
    </w:p>
    <w:p w14:paraId="12E32DB6" w14:textId="77777777" w:rsidR="00E64018" w:rsidRPr="00873FB5" w:rsidRDefault="00E64018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EAF5FD4" w14:textId="0F7BF8B5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根据法律，国税局不能在 2 月中旬之前发放涉及低收入家庭福利优惠或额外子女税优惠的退税</w:t>
      </w:r>
      <w:r w:rsidR="00E6401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，虽然符合条件的民众可能从1月24日就开始报税了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。法律给了国税局额外的时间，以阻止欺诈性退税和申报。</w:t>
      </w:r>
    </w:p>
    <w:p w14:paraId="08FC2D9F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EDB2CB7" w14:textId="6A43EC84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如果我们的系统检测到错误或信息缺失，疑似身份盗用或欺诈行为，一些以电子或纸质方式提交的退税可能需要人工核对，因此会出现延迟处理。其中一些情况需要我们与纳税人通信，有些则不需要。这项工作需要国税局工作人员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特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别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处理，因此国税局可能需要比正常情况的21 天花费更多时间来发放相关退税。在某些情况下，国税局能够在不联系纳税人的情况下更正申报表，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并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向纳税人发函解释。</w:t>
      </w:r>
    </w:p>
    <w:p w14:paraId="294F246D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C35290F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以电子方式申报并选择经转帐直接存款</w:t>
      </w:r>
    </w:p>
    <w:p w14:paraId="7E751EE1" w14:textId="2825FC6A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国税局敦促纳税人在获得提交准确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税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表所需的所有信息后，尽快以电子方式提交并通过经转帐直接存款，加快退税速度。如果退税包含错误或不完整信息，则可能需要进一步复核，这可能会减慢退税速度。大家在准备2021年税表时如果有完整的信息，可以减少错误并避免处理延迟。</w:t>
      </w:r>
    </w:p>
    <w:p w14:paraId="6E2E964C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0C48C57E" w14:textId="2F9EBEF9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大多数个人纳税人在从雇主、发放人（如政府机构）和付款人那里收到 W-2 表格和其它收入信息后，提交国税局表格1040或表格1040-SR。 国税局已将最近税法的更改纳入表格和说明中，并与合作伙伴共享更新，这些合作伙伴专注于开发软件、供个人和税务专业人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士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用于准备和提交税表。表格 1040 和 1040-SR 以及相关说明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，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现在可在国税局官网 IRS.gov 上获取。有关最新的国税局表格和说明，请访问国税局网站 </w:t>
      </w:r>
      <w:hyperlink r:id="rId8" w:history="1">
        <w:r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IRS.gov/forms</w:t>
        </w:r>
      </w:hyperlink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5ECD2B31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7FFEEE62" w14:textId="49ADF9E8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1 月 14 日开始</w:t>
      </w:r>
      <w:r w:rsidR="00811338"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可使用</w:t>
      </w: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免费报税</w:t>
      </w:r>
    </w:p>
    <w:p w14:paraId="7E7577E6" w14:textId="77777777" w:rsidR="00B628CC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国税局的免费报税将于 1 月 14 日开放，届时参与服务的提供商将接受并保存已完成的税表，直至可以通过电子方式向国税局提交。许多商业报税软件公司和税务专业人士也将在 1 月 24 日之前接受和准备税表，以便在国税局系统开放时提交。</w:t>
      </w:r>
    </w:p>
    <w:p w14:paraId="4FFA12BF" w14:textId="77777777" w:rsidR="00B628CC" w:rsidRPr="00873FB5" w:rsidRDefault="00B628CC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71E542EB" w14:textId="4C0E699B" w:rsidR="00E64018" w:rsidRPr="00873FB5" w:rsidRDefault="00E64018" w:rsidP="00E64018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国税局强烈鼓励大家以电子方式提交税表，以尽可能的减少错误并加快退税进度；提交完整、准确的申报表，以避免延误。国税局的</w:t>
      </w:r>
      <w:hyperlink r:id="rId9" w:history="1">
        <w:r w:rsidRPr="00873FB5">
          <w:rPr>
            <w:rStyle w:val="Hyperlink"/>
            <w:rFonts w:ascii="Microsoft YaHei" w:eastAsia="Microsoft YaHei" w:hAnsi="Microsoft YaHei" w:cs="Microsoft YaHei" w:hint="eastAsia"/>
            <w:sz w:val="20"/>
            <w:szCs w:val="20"/>
            <w:lang w:eastAsia="zh-CN"/>
          </w:rPr>
          <w:t>免费报税</w:t>
        </w:r>
      </w:hyperlink>
      <w:r w:rsidRPr="00873FB5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，可以让</w:t>
      </w:r>
      <w:r w:rsidRPr="00873FB5">
        <w:rPr>
          <w:rFonts w:ascii="Microsoft YaHei" w:eastAsia="Microsoft YaHei" w:hAnsi="Microsoft YaHei"/>
          <w:sz w:val="20"/>
          <w:szCs w:val="20"/>
          <w:lang w:eastAsia="zh-CN"/>
        </w:rPr>
        <w:t xml:space="preserve"> 2021 </w:t>
      </w:r>
      <w:r w:rsidRPr="00873FB5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年收入不超过</w:t>
      </w:r>
      <w:r w:rsidRPr="00873FB5">
        <w:rPr>
          <w:rFonts w:ascii="Microsoft YaHei" w:eastAsia="Microsoft YaHei" w:hAnsi="Microsoft YaHei"/>
          <w:sz w:val="20"/>
          <w:szCs w:val="20"/>
          <w:lang w:eastAsia="zh-CN"/>
        </w:rPr>
        <w:t xml:space="preserve"> 73,000 </w:t>
      </w:r>
      <w:r w:rsidRPr="00873FB5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美元的纳税人使用商业报税公司提供的软件免费以电子方式报税。更多信息将在本周晚些时候在免费报税上提供。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</w:t>
      </w:r>
    </w:p>
    <w:p w14:paraId="255AFC5F" w14:textId="77777777" w:rsidR="00811338" w:rsidRPr="00873FB5" w:rsidRDefault="00811338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1936403" w14:textId="29F176FB" w:rsidR="00B628CC" w:rsidRPr="00873FB5" w:rsidRDefault="006B316D" w:rsidP="006B316D">
      <w:pPr>
        <w:rPr>
          <w:rFonts w:ascii="Microsoft YaHei" w:eastAsia="Microsoft YaHei" w:hAnsi="Microsoft YaHei" w:cs="Microsoft JhengHei"/>
          <w:color w:val="1B1B1B"/>
          <w:sz w:val="20"/>
          <w:szCs w:val="20"/>
          <w:lang w:val="en"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除了国税局的免费报税之外，国税局的</w:t>
      </w:r>
      <w:hyperlink r:id="rId10" w:history="1">
        <w:r w:rsidRPr="00873FB5">
          <w:rPr>
            <w:rStyle w:val="Hyperlink"/>
            <w:rFonts w:ascii="Microsoft YaHei" w:eastAsia="Microsoft YaHei" w:hAnsi="Microsoft YaHei" w:cs="Microsoft JhengHei" w:hint="eastAsia"/>
            <w:sz w:val="20"/>
            <w:szCs w:val="20"/>
            <w:lang w:val="en" w:eastAsia="zh-CN"/>
          </w:rPr>
          <w:t>免费税务服务（</w:t>
        </w:r>
        <w:r w:rsidRPr="00873FB5">
          <w:rPr>
            <w:rStyle w:val="Hyperlink"/>
            <w:rFonts w:ascii="Microsoft YaHei" w:eastAsia="Microsoft YaHei" w:hAnsi="Microsoft YaHei" w:cstheme="minorHAnsi"/>
            <w:sz w:val="20"/>
            <w:szCs w:val="20"/>
            <w:lang w:val="en" w:eastAsia="zh-CN"/>
          </w:rPr>
          <w:t>VITA</w:t>
        </w:r>
        <w:r w:rsidRPr="00873FB5">
          <w:rPr>
            <w:rStyle w:val="Hyperlink"/>
            <w:rFonts w:ascii="Microsoft YaHei" w:eastAsia="Microsoft YaHei" w:hAnsi="Microsoft YaHei" w:cs="Microsoft JhengHei" w:hint="eastAsia"/>
            <w:sz w:val="20"/>
            <w:szCs w:val="20"/>
            <w:lang w:val="en" w:eastAsia="zh-CN"/>
          </w:rPr>
          <w:t>）计划和老年人税务辅导（</w:t>
        </w:r>
        <w:r w:rsidRPr="00873FB5">
          <w:rPr>
            <w:rStyle w:val="Hyperlink"/>
            <w:rFonts w:ascii="Microsoft YaHei" w:eastAsia="Microsoft YaHei" w:hAnsi="Microsoft YaHei" w:cstheme="minorHAnsi"/>
            <w:sz w:val="20"/>
            <w:szCs w:val="20"/>
            <w:lang w:val="en" w:eastAsia="zh-CN"/>
          </w:rPr>
          <w:t>TCE</w:t>
        </w:r>
        <w:r w:rsidRPr="00873FB5">
          <w:rPr>
            <w:rStyle w:val="Hyperlink"/>
            <w:rFonts w:ascii="Microsoft YaHei" w:eastAsia="Microsoft YaHei" w:hAnsi="Microsoft YaHei" w:cs="Microsoft JhengHei" w:hint="eastAsia"/>
            <w:sz w:val="20"/>
            <w:szCs w:val="20"/>
            <w:lang w:val="en" w:eastAsia="zh-CN"/>
          </w:rPr>
          <w:t>）计划</w:t>
        </w:r>
      </w:hyperlink>
    </w:p>
    <w:p w14:paraId="567DA84E" w14:textId="3617292D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cs="Microsoft JhengHei" w:hint="eastAsia"/>
          <w:color w:val="1B1B1B"/>
          <w:sz w:val="20"/>
          <w:szCs w:val="20"/>
          <w:lang w:val="en" w:eastAsia="zh-CN"/>
        </w:rPr>
        <w:t>为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符合条件的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民众，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提供免费的</w:t>
      </w:r>
      <w:r w:rsidR="0081133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基础报税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准备。有关更多信息，请参阅国税局官网 IRS.gov </w:t>
      </w:r>
      <w:hyperlink r:id="rId11" w:history="1">
        <w:r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页面</w:t>
        </w:r>
      </w:hyperlink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2DAEAF40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185E7D8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lang w:eastAsia="zh-CN"/>
        </w:rPr>
        <w:t>留意国税局关于子女税优惠预付款和第三次经济影响补助金的信函</w:t>
      </w:r>
    </w:p>
    <w:p w14:paraId="7295556C" w14:textId="6C7021E5" w:rsidR="00016708" w:rsidRPr="00873FB5" w:rsidRDefault="006B316D" w:rsidP="00016708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国税局将在 2021 年 12 月下旬到2022年1月发送 2021 年子女税优惠预付款的信函6419。</w:t>
      </w:r>
      <w:r w:rsidR="0001670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这封信包含确保准确报税的重要信息。收到子女税优惠预付款的人还可以使用国税局官网 IRS.gov 上的</w:t>
      </w:r>
      <w:hyperlink r:id="rId12" w:history="1">
        <w:r w:rsidR="00016708"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子女税优惠更新门户</w:t>
        </w:r>
      </w:hyperlink>
      <w:r w:rsidR="00016708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来核查他们的款额。</w:t>
      </w:r>
    </w:p>
    <w:p w14:paraId="24D15178" w14:textId="77777777" w:rsidR="00016708" w:rsidRPr="00873FB5" w:rsidRDefault="00016708" w:rsidP="00016708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0BD7E6E" w14:textId="74036DB1" w:rsidR="00016708" w:rsidRDefault="00623CB1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23CB1">
        <w:rPr>
          <w:rFonts w:ascii="Microsoft YaHei" w:eastAsia="Microsoft YaHei" w:hAnsi="Microsoft YaHei" w:hint="eastAsia"/>
          <w:sz w:val="20"/>
          <w:szCs w:val="20"/>
          <w:lang w:eastAsia="zh-CN"/>
        </w:rPr>
        <w:t>收到子女税优惠预付款的符合条件的纳税人需要提交 </w:t>
      </w:r>
      <w:r w:rsidRPr="00623CB1">
        <w:rPr>
          <w:rFonts w:ascii="Microsoft YaHei" w:eastAsia="Microsoft YaHei" w:hAnsi="Microsoft YaHei"/>
          <w:sz w:val="20"/>
          <w:szCs w:val="20"/>
          <w:lang w:eastAsia="zh-CN"/>
        </w:rPr>
        <w:t>2021 </w:t>
      </w:r>
      <w:r w:rsidRPr="00623CB1">
        <w:rPr>
          <w:rFonts w:ascii="Microsoft YaHei" w:eastAsia="Microsoft YaHei" w:hAnsi="Microsoft YaHei" w:hint="eastAsia"/>
          <w:sz w:val="20"/>
          <w:szCs w:val="20"/>
          <w:lang w:eastAsia="zh-CN"/>
        </w:rPr>
        <w:t>年的税表，来领取剩余一半的款项。符合条件但没有收到子女税优惠预付款的纳税人，可以通过报税来领取全额优惠款。</w:t>
      </w:r>
    </w:p>
    <w:p w14:paraId="42941F6E" w14:textId="77777777" w:rsidR="00623CB1" w:rsidRPr="00873FB5" w:rsidRDefault="00623CB1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8902B9B" w14:textId="598A32C6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国税局将向在1 月下旬</w:t>
      </w:r>
      <w:r w:rsidR="000F3D49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向在2021年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收到第三笔经济影响补助金的个人发出信函 6475。虽然大多数符合条件的</w:t>
      </w:r>
      <w:r w:rsidR="000F3D49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民众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已经收到了他们的刺激计划补助金，但这封信将帮助人们确定他们是否有资格申领</w:t>
      </w:r>
      <w:hyperlink r:id="rId13" w:history="1">
        <w:r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纾困金退税额</w:t>
        </w:r>
      </w:hyperlink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，以及他们是否必须通过提交 2021 年税表才能进行申领。人们还可以使用</w:t>
      </w:r>
      <w:hyperlink r:id="rId14" w:history="1">
        <w:r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国税局在线帐户</w:t>
        </w:r>
      </w:hyperlink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查看他们的经济影响补助金的金额。</w:t>
      </w:r>
    </w:p>
    <w:p w14:paraId="5DE5BC5D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1781A92" w14:textId="5DF6C563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这两封信都包含重要信息，可以帮助大家准确提交 2021 年税表。如果申报表</w:t>
      </w:r>
      <w:r w:rsidR="003A38D9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出现信息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错误或不完整，则可能需要进一步核查，国税局纠错可能会减慢退税速度。通过电子方式报税并使用这些信息可以减少错误并避免处理延迟。</w:t>
      </w:r>
    </w:p>
    <w:p w14:paraId="07A02444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59BF449" w14:textId="5EFF6032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符合条件的民众，获得 2021 年退税（包括其可获得的子女税优惠和纾困金退税额）的最快方式是通过电子方式</w:t>
      </w:r>
      <w:r w:rsidR="003A38D9"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报税</w:t>
      </w: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并选择</w:t>
      </w:r>
      <w:hyperlink r:id="rId15" w:history="1">
        <w:r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经转帐直接存款</w:t>
        </w:r>
      </w:hyperlink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6AF7551B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sz w:val="20"/>
          <w:szCs w:val="20"/>
          <w:lang w:eastAsia="zh-CN"/>
        </w:rPr>
      </w:pPr>
    </w:p>
    <w:p w14:paraId="2D88DCAE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如何使报税更容易</w:t>
      </w:r>
    </w:p>
    <w:p w14:paraId="299B8EF0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为避免处理延误和加速退税，国税局敦促人们遵循以下步骤：</w:t>
      </w:r>
    </w:p>
    <w:p w14:paraId="4FC75258" w14:textId="6C153FF0" w:rsidR="006B316D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cs="Microsoft JhengHei" w:hint="eastAsia"/>
          <w:sz w:val="20"/>
          <w:szCs w:val="20"/>
          <w:lang w:eastAsia="zh-CN"/>
        </w:rPr>
        <w:t>收集和整理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2021 年税务记录，包括在 2022 日历年有效的社会安全号、个人纳税识别号码、领养儿童纳税识别号码以及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本年度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hyperlink r:id="rId16" w:history="1">
        <w:r w:rsidRPr="00692657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身份保护个人识别号码（英文）</w:t>
        </w:r>
      </w:hyperlink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0642D4D9" w14:textId="77777777" w:rsidR="00692657" w:rsidRPr="00692657" w:rsidRDefault="00692657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CAEECE9" w14:textId="4CEC49A5" w:rsidR="006B316D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查看国税局官网 IRS.gov 以获取最新的税务信息，包括对子女税优惠预付款进行核对，以及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针对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缺失的刺激计划补助金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申领纾困金退税额等相关信息。国税局官网信息齐全，您无需打电话。</w:t>
      </w:r>
    </w:p>
    <w:p w14:paraId="1FD21D5A" w14:textId="77777777" w:rsidR="00692657" w:rsidRPr="00692657" w:rsidRDefault="00692657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DC3728C" w14:textId="5ABCDA70" w:rsidR="006B316D" w:rsidRDefault="006B316D" w:rsidP="00692657">
      <w:pPr>
        <w:rPr>
          <w:rFonts w:ascii="Microsoft YaHei" w:eastAsia="Microsoft YaHei" w:hAnsi="Microsoft YaHei" w:cs="DengXian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在</w:t>
      </w:r>
      <w:hyperlink r:id="rId17" w:history="1">
        <w:r w:rsidRPr="00692657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IRS.gov/account</w:t>
        </w:r>
      </w:hyperlink>
      <w:r w:rsidRPr="00692657">
        <w:rPr>
          <w:rFonts w:ascii="Microsoft YaHei" w:eastAsia="Microsoft YaHei" w:hAnsi="Microsoft YaHei"/>
          <w:sz w:val="20"/>
          <w:szCs w:val="20"/>
          <w:lang w:eastAsia="zh-CN"/>
        </w:rPr>
        <w:t xml:space="preserve"> 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上开设账户或安全登录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访问个人税务账户信息，包括余额、付款和税务记录（包括调整后总收</w:t>
      </w:r>
      <w:r w:rsidRPr="00692657">
        <w:rPr>
          <w:rFonts w:ascii="Arial" w:eastAsia="Microsoft YaHei" w:hAnsi="Arial"/>
          <w:sz w:val="20"/>
          <w:szCs w:val="20"/>
          <w:lang w:eastAsia="zh-CN"/>
        </w:rPr>
        <w:t>​​</w:t>
      </w:r>
      <w:r w:rsidRPr="00692657">
        <w:rPr>
          <w:rFonts w:ascii="Microsoft YaHei" w:eastAsia="Microsoft YaHei" w:hAnsi="Microsoft YaHei" w:cs="DengXian" w:hint="eastAsia"/>
          <w:sz w:val="20"/>
          <w:szCs w:val="20"/>
          <w:lang w:eastAsia="zh-CN"/>
        </w:rPr>
        <w:t>入）。</w:t>
      </w:r>
    </w:p>
    <w:p w14:paraId="1A14E53D" w14:textId="77777777" w:rsidR="00692657" w:rsidRPr="00692657" w:rsidRDefault="00692657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E0E3EC6" w14:textId="4E69AB7E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在 2022 年 1 月 18 日星期二之前完成2021 年的预估税</w:t>
      </w:r>
      <w:hyperlink r:id="rId18" w:history="1">
        <w:r w:rsidRPr="00692657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税款缴纳</w:t>
        </w:r>
      </w:hyperlink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，以避免税季账单以及可能的罚款。</w:t>
      </w:r>
    </w:p>
    <w:p w14:paraId="638B0A91" w14:textId="2EAB13E0" w:rsidR="006B316D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个人可以使用银行账户、预付借记卡或移动应用程序来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进行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经转帐直接存款，并且需要提供银行机构识别码和账户号码。没有银行账户的人可以学习如何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利用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</w:t>
      </w:r>
      <w:hyperlink r:id="rId19" w:history="1">
        <w:r w:rsidRPr="00692657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FDIC 保险银行（英文）</w:t>
        </w:r>
      </w:hyperlink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或</w:t>
      </w:r>
      <w:hyperlink r:id="rId20" w:history="1">
        <w:r w:rsidRPr="00692657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国家信用合作管理局查找工具（英文）</w:t>
        </w:r>
      </w:hyperlink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开设账户。</w:t>
      </w:r>
    </w:p>
    <w:p w14:paraId="7426537C" w14:textId="77777777" w:rsidR="00692657" w:rsidRPr="00692657" w:rsidRDefault="00692657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821584E" w14:textId="2B04E9CF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当您准备好以后，以电子方式提交完整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且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准确的税表，并选择经转帐直接存款以获得最快的退税。</w:t>
      </w:r>
    </w:p>
    <w:p w14:paraId="62459D4C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3B05B35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关键的报税季日期</w:t>
      </w:r>
    </w:p>
    <w:p w14:paraId="46043C03" w14:textId="59A7101B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对于今年的申报季，纳税人应牢记几个重要日期：</w:t>
      </w:r>
    </w:p>
    <w:p w14:paraId="2B7F20CC" w14:textId="7635404C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1 月 14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，国税局的</w:t>
      </w:r>
      <w:r w:rsidR="00A74219" w:rsidRPr="00692657">
        <w:rPr>
          <w:rFonts w:ascii="Microsoft YaHei" w:eastAsia="Microsoft YaHei" w:hAnsi="Microsoft YaHei" w:hint="eastAsia"/>
          <w:lang w:eastAsia="zh-CN"/>
        </w:rPr>
        <w:t>免费</w:t>
      </w:r>
      <w:r w:rsidR="00A85AA9" w:rsidRPr="00692657">
        <w:rPr>
          <w:rFonts w:ascii="Microsoft YaHei" w:eastAsia="Microsoft YaHei" w:hAnsi="Microsoft YaHei" w:cs="Microsoft YaHei" w:hint="eastAsia"/>
          <w:lang w:eastAsia="zh-CN"/>
        </w:rPr>
        <w:t>报税开放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。纳税人可以开始通过国税局免费报税合作伙伴提交税表；税表将从 1 月 24 日开始送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达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到国税局。税务软件公司也正在接受提前报税。</w:t>
      </w:r>
    </w:p>
    <w:p w14:paraId="471A068E" w14:textId="77777777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1 月 18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，2021 纳税年度第四季度预估税款的到期日。</w:t>
      </w:r>
    </w:p>
    <w:p w14:paraId="4C7A4443" w14:textId="65E08D46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1 月 24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，国税局开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启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2022 年纳税季，开始接受和处理2021 年个人纳税申报表。</w:t>
      </w:r>
    </w:p>
    <w:p w14:paraId="09998D8B" w14:textId="77777777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1 月 28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，低收入家庭福利优惠宣传日，以提高大家对于重要税收抵免的认识，包括如何利用上一年收入来获得抵免资格。</w:t>
      </w:r>
    </w:p>
    <w:p w14:paraId="62D7C0BF" w14:textId="79880DE9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4 月 18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，提交 2021 年税表、或申请延期并缴纳所欠税款的截止日期（因华盛顿特区的解放日假期延至此日期，</w:t>
      </w:r>
      <w:r w:rsidR="00F279D6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同样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适用于其他</w:t>
      </w:r>
      <w:r w:rsidR="00F95D73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各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地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的居民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）</w:t>
      </w:r>
    </w:p>
    <w:p w14:paraId="0A0A4285" w14:textId="54B0775F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lastRenderedPageBreak/>
        <w:t>4 月 19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，如果您住在马萨诸塞州或缅因州，该日期为提交 2021 年税表或申请延期并缴纳所欠税款的截止日期（因爱国者日假期延至此日期）</w:t>
      </w:r>
    </w:p>
    <w:p w14:paraId="46A6A7B5" w14:textId="10836332" w:rsidR="006B316D" w:rsidRPr="00692657" w:rsidRDefault="006B316D" w:rsidP="00692657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692657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10 月 17 日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，申请2021年延期的</w:t>
      </w:r>
      <w:r w:rsidR="00A74219"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报税</w:t>
      </w:r>
      <w:r w:rsidRPr="00692657">
        <w:rPr>
          <w:rFonts w:ascii="Microsoft YaHei" w:eastAsia="Microsoft YaHei" w:hAnsi="Microsoft YaHei" w:hint="eastAsia"/>
          <w:sz w:val="20"/>
          <w:szCs w:val="20"/>
          <w:lang w:eastAsia="zh-CN"/>
        </w:rPr>
        <w:t>截止日</w:t>
      </w:r>
    </w:p>
    <w:p w14:paraId="027C97DC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00DA82E1" w14:textId="77777777" w:rsidR="006B316D" w:rsidRPr="00873FB5" w:rsidRDefault="006B316D" w:rsidP="006B316D">
      <w:pPr>
        <w:rPr>
          <w:rFonts w:ascii="Microsoft YaHei" w:eastAsia="Microsoft YaHei" w:hAnsi="Microsoft YaHei"/>
          <w:b/>
          <w:bCs/>
          <w:color w:val="002C4E" w:themeColor="accent1" w:themeShade="80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提前规划</w:t>
      </w:r>
    </w:p>
    <w:p w14:paraId="59DBAECE" w14:textId="1B814125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为即将到来的报税季做好准备。如需更多提示和资源，请查看国税局官网 IRS.gov 上的“</w:t>
      </w:r>
      <w:hyperlink r:id="rId21" w:history="1">
        <w:r w:rsidRPr="00873FB5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准备就绪</w:t>
        </w:r>
      </w:hyperlink>
      <w:r w:rsidRPr="00873FB5">
        <w:rPr>
          <w:rFonts w:ascii="Microsoft YaHei" w:eastAsia="Microsoft YaHei" w:hAnsi="Microsoft YaHei" w:hint="eastAsia"/>
          <w:sz w:val="20"/>
          <w:szCs w:val="20"/>
          <w:lang w:eastAsia="zh-CN"/>
        </w:rPr>
        <w:t>”页面。</w:t>
      </w:r>
    </w:p>
    <w:p w14:paraId="5BCE0718" w14:textId="77777777" w:rsidR="006B316D" w:rsidRPr="00873FB5" w:rsidRDefault="006B316D" w:rsidP="006B316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121DAD2" w14:textId="77777777" w:rsidR="004307AB" w:rsidRPr="00873FB5" w:rsidRDefault="004307AB" w:rsidP="00FB0B58">
      <w:pPr>
        <w:rPr>
          <w:rFonts w:ascii="Microsoft YaHei" w:eastAsia="Microsoft YaHei" w:hAnsi="Microsoft YaHei"/>
          <w:lang w:eastAsia="zh-CN"/>
        </w:rPr>
      </w:pPr>
    </w:p>
    <w:p w14:paraId="4AD47777" w14:textId="77777777" w:rsidR="004307AB" w:rsidRPr="00873FB5" w:rsidRDefault="004307AB" w:rsidP="008210A2">
      <w:pPr>
        <w:jc w:val="center"/>
        <w:rPr>
          <w:rFonts w:ascii="Microsoft YaHei" w:eastAsia="Microsoft YaHei" w:hAnsi="Microsoft YaHei"/>
        </w:rPr>
      </w:pPr>
      <w:r w:rsidRPr="00873FB5">
        <w:rPr>
          <w:rFonts w:ascii="Microsoft YaHei" w:eastAsia="Microsoft YaHei" w:hAnsi="Microsoft YaHei"/>
        </w:rPr>
        <w:t>-30-</w:t>
      </w:r>
    </w:p>
    <w:sectPr w:rsidR="004307AB" w:rsidRPr="00873FB5" w:rsidSect="009A0D33"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E727" w14:textId="77777777" w:rsidR="00112FBD" w:rsidRDefault="00112FBD">
      <w:r>
        <w:separator/>
      </w:r>
    </w:p>
    <w:p w14:paraId="3BD678D1" w14:textId="77777777" w:rsidR="00112FBD" w:rsidRDefault="00112FBD"/>
  </w:endnote>
  <w:endnote w:type="continuationSeparator" w:id="0">
    <w:p w14:paraId="62E48441" w14:textId="77777777" w:rsidR="00112FBD" w:rsidRDefault="00112FBD">
      <w:r>
        <w:continuationSeparator/>
      </w:r>
    </w:p>
    <w:p w14:paraId="73B28AB3" w14:textId="77777777" w:rsidR="00112FBD" w:rsidRDefault="00112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AA5F" w14:textId="77777777" w:rsidR="00112FBD" w:rsidRDefault="00112FBD">
      <w:r>
        <w:separator/>
      </w:r>
    </w:p>
    <w:p w14:paraId="08D6D07D" w14:textId="77777777" w:rsidR="00112FBD" w:rsidRDefault="00112FBD"/>
  </w:footnote>
  <w:footnote w:type="continuationSeparator" w:id="0">
    <w:p w14:paraId="56836F04" w14:textId="77777777" w:rsidR="00112FBD" w:rsidRDefault="00112FBD">
      <w:r>
        <w:continuationSeparator/>
      </w:r>
    </w:p>
    <w:p w14:paraId="0B46E012" w14:textId="77777777" w:rsidR="00112FBD" w:rsidRDefault="00112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483F6D45">
          <wp:simplePos x="0" y="0"/>
          <wp:positionH relativeFrom="page">
            <wp:posOffset>-22860</wp:posOffset>
          </wp:positionH>
          <wp:positionV relativeFrom="page">
            <wp:posOffset>-6985</wp:posOffset>
          </wp:positionV>
          <wp:extent cx="7818120" cy="106815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20" cy="106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C40"/>
    <w:multiLevelType w:val="hybridMultilevel"/>
    <w:tmpl w:val="EEC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2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3" w15:restartNumberingAfterBreak="0">
    <w:nsid w:val="20D37013"/>
    <w:multiLevelType w:val="hybridMultilevel"/>
    <w:tmpl w:val="AB0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44A6"/>
    <w:multiLevelType w:val="hybridMultilevel"/>
    <w:tmpl w:val="D0A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7941"/>
    <w:multiLevelType w:val="multilevel"/>
    <w:tmpl w:val="046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31E38"/>
    <w:multiLevelType w:val="hybridMultilevel"/>
    <w:tmpl w:val="45FE9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8" w15:restartNumberingAfterBreak="0">
    <w:nsid w:val="3ABE4D74"/>
    <w:multiLevelType w:val="hybridMultilevel"/>
    <w:tmpl w:val="A920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2629B"/>
    <w:multiLevelType w:val="multilevel"/>
    <w:tmpl w:val="4A4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1" w15:restartNumberingAfterBreak="0">
    <w:nsid w:val="48E409ED"/>
    <w:multiLevelType w:val="hybridMultilevel"/>
    <w:tmpl w:val="38A2E6B2"/>
    <w:lvl w:ilvl="0" w:tplc="2ADEEFFC">
      <w:numFmt w:val="bullet"/>
      <w:lvlText w:val="•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2E23"/>
    <w:multiLevelType w:val="hybridMultilevel"/>
    <w:tmpl w:val="C8FAA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603B2"/>
    <w:multiLevelType w:val="hybridMultilevel"/>
    <w:tmpl w:val="CEEC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01D2"/>
    <w:rsid w:val="00001500"/>
    <w:rsid w:val="000046B2"/>
    <w:rsid w:val="0001581B"/>
    <w:rsid w:val="00016708"/>
    <w:rsid w:val="00022182"/>
    <w:rsid w:val="000264C1"/>
    <w:rsid w:val="000336C2"/>
    <w:rsid w:val="00035420"/>
    <w:rsid w:val="00045A03"/>
    <w:rsid w:val="00060B66"/>
    <w:rsid w:val="00061D02"/>
    <w:rsid w:val="000621D3"/>
    <w:rsid w:val="000653C6"/>
    <w:rsid w:val="000715A1"/>
    <w:rsid w:val="00076F14"/>
    <w:rsid w:val="00077002"/>
    <w:rsid w:val="00081114"/>
    <w:rsid w:val="0008428A"/>
    <w:rsid w:val="00085C23"/>
    <w:rsid w:val="000878D1"/>
    <w:rsid w:val="000B0DA4"/>
    <w:rsid w:val="000B1E76"/>
    <w:rsid w:val="000C4EA7"/>
    <w:rsid w:val="000C6627"/>
    <w:rsid w:val="000D018A"/>
    <w:rsid w:val="000D0312"/>
    <w:rsid w:val="000D7E7B"/>
    <w:rsid w:val="000F3D49"/>
    <w:rsid w:val="000F595A"/>
    <w:rsid w:val="001001D5"/>
    <w:rsid w:val="00101A79"/>
    <w:rsid w:val="00103AE7"/>
    <w:rsid w:val="001043A3"/>
    <w:rsid w:val="00112D65"/>
    <w:rsid w:val="00112FBD"/>
    <w:rsid w:val="00115442"/>
    <w:rsid w:val="00120303"/>
    <w:rsid w:val="0012196D"/>
    <w:rsid w:val="001357DE"/>
    <w:rsid w:val="0013587E"/>
    <w:rsid w:val="00147A97"/>
    <w:rsid w:val="00155FA5"/>
    <w:rsid w:val="00155FBA"/>
    <w:rsid w:val="001761F5"/>
    <w:rsid w:val="00185D28"/>
    <w:rsid w:val="00186C27"/>
    <w:rsid w:val="001906AC"/>
    <w:rsid w:val="00190902"/>
    <w:rsid w:val="001920BF"/>
    <w:rsid w:val="00192531"/>
    <w:rsid w:val="001A413A"/>
    <w:rsid w:val="001A5416"/>
    <w:rsid w:val="001A645E"/>
    <w:rsid w:val="001B152C"/>
    <w:rsid w:val="001B4A4C"/>
    <w:rsid w:val="001D0589"/>
    <w:rsid w:val="001D3A69"/>
    <w:rsid w:val="001D4F2F"/>
    <w:rsid w:val="001E030C"/>
    <w:rsid w:val="001E3A33"/>
    <w:rsid w:val="001E55F7"/>
    <w:rsid w:val="001E64E3"/>
    <w:rsid w:val="001E683A"/>
    <w:rsid w:val="001F4D0B"/>
    <w:rsid w:val="001F5F9F"/>
    <w:rsid w:val="0020006B"/>
    <w:rsid w:val="00202F98"/>
    <w:rsid w:val="00203522"/>
    <w:rsid w:val="00204F1C"/>
    <w:rsid w:val="00206930"/>
    <w:rsid w:val="00207E7F"/>
    <w:rsid w:val="002128AD"/>
    <w:rsid w:val="002143F9"/>
    <w:rsid w:val="0023334D"/>
    <w:rsid w:val="00233CFE"/>
    <w:rsid w:val="00236106"/>
    <w:rsid w:val="00237200"/>
    <w:rsid w:val="002503D0"/>
    <w:rsid w:val="00263258"/>
    <w:rsid w:val="00266E0E"/>
    <w:rsid w:val="00267892"/>
    <w:rsid w:val="00272B58"/>
    <w:rsid w:val="00283E02"/>
    <w:rsid w:val="002871D7"/>
    <w:rsid w:val="002938A9"/>
    <w:rsid w:val="0029547F"/>
    <w:rsid w:val="002A10C9"/>
    <w:rsid w:val="002A2917"/>
    <w:rsid w:val="002A4698"/>
    <w:rsid w:val="002A542D"/>
    <w:rsid w:val="002C06EA"/>
    <w:rsid w:val="002D0FBB"/>
    <w:rsid w:val="002D2529"/>
    <w:rsid w:val="002D2DAB"/>
    <w:rsid w:val="002E12A9"/>
    <w:rsid w:val="002E1C5E"/>
    <w:rsid w:val="002E5E80"/>
    <w:rsid w:val="002E7463"/>
    <w:rsid w:val="002F25EB"/>
    <w:rsid w:val="00301ACC"/>
    <w:rsid w:val="00302FA2"/>
    <w:rsid w:val="003041B6"/>
    <w:rsid w:val="003043EC"/>
    <w:rsid w:val="00310517"/>
    <w:rsid w:val="00316DF6"/>
    <w:rsid w:val="003207CB"/>
    <w:rsid w:val="003214FC"/>
    <w:rsid w:val="0033542F"/>
    <w:rsid w:val="00343000"/>
    <w:rsid w:val="003435E4"/>
    <w:rsid w:val="0035426F"/>
    <w:rsid w:val="00354FD0"/>
    <w:rsid w:val="0035526A"/>
    <w:rsid w:val="003601FA"/>
    <w:rsid w:val="00360AD7"/>
    <w:rsid w:val="003629ED"/>
    <w:rsid w:val="00363713"/>
    <w:rsid w:val="003666A5"/>
    <w:rsid w:val="00367C3D"/>
    <w:rsid w:val="003733E7"/>
    <w:rsid w:val="00373882"/>
    <w:rsid w:val="00391428"/>
    <w:rsid w:val="0039202C"/>
    <w:rsid w:val="00397347"/>
    <w:rsid w:val="00397CB3"/>
    <w:rsid w:val="003A2854"/>
    <w:rsid w:val="003A30FC"/>
    <w:rsid w:val="003A38D9"/>
    <w:rsid w:val="003A7266"/>
    <w:rsid w:val="003B1974"/>
    <w:rsid w:val="003B31BF"/>
    <w:rsid w:val="003B5737"/>
    <w:rsid w:val="003B63A3"/>
    <w:rsid w:val="003B6B92"/>
    <w:rsid w:val="003C1B95"/>
    <w:rsid w:val="003C32CD"/>
    <w:rsid w:val="003C3336"/>
    <w:rsid w:val="003D004C"/>
    <w:rsid w:val="003D77B3"/>
    <w:rsid w:val="003E094C"/>
    <w:rsid w:val="003E3A0C"/>
    <w:rsid w:val="003E637D"/>
    <w:rsid w:val="003E6B5E"/>
    <w:rsid w:val="003F197C"/>
    <w:rsid w:val="003F450A"/>
    <w:rsid w:val="003F49DD"/>
    <w:rsid w:val="003F6116"/>
    <w:rsid w:val="003F7429"/>
    <w:rsid w:val="00407D99"/>
    <w:rsid w:val="0041321E"/>
    <w:rsid w:val="00417497"/>
    <w:rsid w:val="00421BA5"/>
    <w:rsid w:val="004307AB"/>
    <w:rsid w:val="00430D72"/>
    <w:rsid w:val="004321D9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704B4"/>
    <w:rsid w:val="00472EC6"/>
    <w:rsid w:val="004741F9"/>
    <w:rsid w:val="00476449"/>
    <w:rsid w:val="00481F00"/>
    <w:rsid w:val="00485B99"/>
    <w:rsid w:val="0048704C"/>
    <w:rsid w:val="00492DF5"/>
    <w:rsid w:val="0049422B"/>
    <w:rsid w:val="004A1401"/>
    <w:rsid w:val="004A2EB3"/>
    <w:rsid w:val="004A3C2E"/>
    <w:rsid w:val="004A51AC"/>
    <w:rsid w:val="004A6B97"/>
    <w:rsid w:val="004B104C"/>
    <w:rsid w:val="004B5A5F"/>
    <w:rsid w:val="004B7C64"/>
    <w:rsid w:val="004C56E4"/>
    <w:rsid w:val="004C71C0"/>
    <w:rsid w:val="004C7628"/>
    <w:rsid w:val="004D28CB"/>
    <w:rsid w:val="004D4E49"/>
    <w:rsid w:val="004D63DD"/>
    <w:rsid w:val="004D6868"/>
    <w:rsid w:val="004D7311"/>
    <w:rsid w:val="004E54EF"/>
    <w:rsid w:val="004E7DA0"/>
    <w:rsid w:val="004F553B"/>
    <w:rsid w:val="0050197A"/>
    <w:rsid w:val="00513CD8"/>
    <w:rsid w:val="005142E2"/>
    <w:rsid w:val="00515799"/>
    <w:rsid w:val="005201AA"/>
    <w:rsid w:val="005272FA"/>
    <w:rsid w:val="005311D8"/>
    <w:rsid w:val="00532D29"/>
    <w:rsid w:val="00534D82"/>
    <w:rsid w:val="00535E13"/>
    <w:rsid w:val="00536D10"/>
    <w:rsid w:val="0054100B"/>
    <w:rsid w:val="00543E8A"/>
    <w:rsid w:val="00544CEC"/>
    <w:rsid w:val="00550599"/>
    <w:rsid w:val="0055089F"/>
    <w:rsid w:val="00552A8A"/>
    <w:rsid w:val="005532D3"/>
    <w:rsid w:val="00556ACA"/>
    <w:rsid w:val="005626E9"/>
    <w:rsid w:val="00567D98"/>
    <w:rsid w:val="00584578"/>
    <w:rsid w:val="00584677"/>
    <w:rsid w:val="005850D9"/>
    <w:rsid w:val="0059406E"/>
    <w:rsid w:val="005A2917"/>
    <w:rsid w:val="005A6176"/>
    <w:rsid w:val="005B23B7"/>
    <w:rsid w:val="005B760E"/>
    <w:rsid w:val="005C60D5"/>
    <w:rsid w:val="005C647A"/>
    <w:rsid w:val="005C69F9"/>
    <w:rsid w:val="005C6B7A"/>
    <w:rsid w:val="005C6CE2"/>
    <w:rsid w:val="005D3465"/>
    <w:rsid w:val="005E416B"/>
    <w:rsid w:val="005E4DD5"/>
    <w:rsid w:val="005E652E"/>
    <w:rsid w:val="005F2A52"/>
    <w:rsid w:val="005F350F"/>
    <w:rsid w:val="005F44D2"/>
    <w:rsid w:val="005F735B"/>
    <w:rsid w:val="006025E1"/>
    <w:rsid w:val="006068FA"/>
    <w:rsid w:val="006108B2"/>
    <w:rsid w:val="006116CF"/>
    <w:rsid w:val="006131C2"/>
    <w:rsid w:val="0061599D"/>
    <w:rsid w:val="00616D27"/>
    <w:rsid w:val="00623CB1"/>
    <w:rsid w:val="00630DB0"/>
    <w:rsid w:val="00630FFD"/>
    <w:rsid w:val="006329CC"/>
    <w:rsid w:val="00632ADE"/>
    <w:rsid w:val="006425A5"/>
    <w:rsid w:val="0064525B"/>
    <w:rsid w:val="00645A8C"/>
    <w:rsid w:val="00656C21"/>
    <w:rsid w:val="00656CFE"/>
    <w:rsid w:val="00665AB3"/>
    <w:rsid w:val="0066644B"/>
    <w:rsid w:val="00675EFB"/>
    <w:rsid w:val="0068021F"/>
    <w:rsid w:val="00682C2A"/>
    <w:rsid w:val="0068696E"/>
    <w:rsid w:val="00692657"/>
    <w:rsid w:val="00693A90"/>
    <w:rsid w:val="006966BF"/>
    <w:rsid w:val="006A049B"/>
    <w:rsid w:val="006A0989"/>
    <w:rsid w:val="006A70E5"/>
    <w:rsid w:val="006B0DDD"/>
    <w:rsid w:val="006B316D"/>
    <w:rsid w:val="006B680E"/>
    <w:rsid w:val="006B6A3F"/>
    <w:rsid w:val="006C032C"/>
    <w:rsid w:val="006C7027"/>
    <w:rsid w:val="006D3E51"/>
    <w:rsid w:val="006D5D66"/>
    <w:rsid w:val="006E1B8B"/>
    <w:rsid w:val="006E65BC"/>
    <w:rsid w:val="006F2C50"/>
    <w:rsid w:val="006F2F38"/>
    <w:rsid w:val="00700851"/>
    <w:rsid w:val="00705ED8"/>
    <w:rsid w:val="0071731E"/>
    <w:rsid w:val="00736544"/>
    <w:rsid w:val="00737734"/>
    <w:rsid w:val="00740B2D"/>
    <w:rsid w:val="00744295"/>
    <w:rsid w:val="00753231"/>
    <w:rsid w:val="00753B6B"/>
    <w:rsid w:val="00756656"/>
    <w:rsid w:val="0076024D"/>
    <w:rsid w:val="00762B61"/>
    <w:rsid w:val="00763973"/>
    <w:rsid w:val="00764386"/>
    <w:rsid w:val="00771F5B"/>
    <w:rsid w:val="00772184"/>
    <w:rsid w:val="00772800"/>
    <w:rsid w:val="00787D10"/>
    <w:rsid w:val="00791318"/>
    <w:rsid w:val="00791C87"/>
    <w:rsid w:val="00793BAC"/>
    <w:rsid w:val="007A1277"/>
    <w:rsid w:val="007C39E7"/>
    <w:rsid w:val="007C70B4"/>
    <w:rsid w:val="007D010D"/>
    <w:rsid w:val="007D03E1"/>
    <w:rsid w:val="007D0FA2"/>
    <w:rsid w:val="007E20C1"/>
    <w:rsid w:val="007F0B23"/>
    <w:rsid w:val="007F2F2C"/>
    <w:rsid w:val="008006C3"/>
    <w:rsid w:val="00800D1E"/>
    <w:rsid w:val="008035B4"/>
    <w:rsid w:val="00805879"/>
    <w:rsid w:val="00811338"/>
    <w:rsid w:val="0081405E"/>
    <w:rsid w:val="008210A2"/>
    <w:rsid w:val="008320AF"/>
    <w:rsid w:val="0083218B"/>
    <w:rsid w:val="008328CB"/>
    <w:rsid w:val="00834683"/>
    <w:rsid w:val="00841515"/>
    <w:rsid w:val="00842B0B"/>
    <w:rsid w:val="00845D0A"/>
    <w:rsid w:val="0085025A"/>
    <w:rsid w:val="00853826"/>
    <w:rsid w:val="008552FF"/>
    <w:rsid w:val="00863D41"/>
    <w:rsid w:val="0086581F"/>
    <w:rsid w:val="00872314"/>
    <w:rsid w:val="00873FB5"/>
    <w:rsid w:val="00875A8C"/>
    <w:rsid w:val="008765EA"/>
    <w:rsid w:val="00877613"/>
    <w:rsid w:val="00882785"/>
    <w:rsid w:val="0089259A"/>
    <w:rsid w:val="008A0F21"/>
    <w:rsid w:val="008A1F6A"/>
    <w:rsid w:val="008A3536"/>
    <w:rsid w:val="008A5A16"/>
    <w:rsid w:val="008A7175"/>
    <w:rsid w:val="008B1E7C"/>
    <w:rsid w:val="008B3705"/>
    <w:rsid w:val="008C0D10"/>
    <w:rsid w:val="008C5603"/>
    <w:rsid w:val="008C6972"/>
    <w:rsid w:val="008D7BA0"/>
    <w:rsid w:val="008E44C4"/>
    <w:rsid w:val="008E78BB"/>
    <w:rsid w:val="008F11B9"/>
    <w:rsid w:val="00900A61"/>
    <w:rsid w:val="0090459D"/>
    <w:rsid w:val="00913C01"/>
    <w:rsid w:val="00923B43"/>
    <w:rsid w:val="00931439"/>
    <w:rsid w:val="009428FC"/>
    <w:rsid w:val="00950F28"/>
    <w:rsid w:val="00961C27"/>
    <w:rsid w:val="00962462"/>
    <w:rsid w:val="00962E22"/>
    <w:rsid w:val="00963AF2"/>
    <w:rsid w:val="009653DE"/>
    <w:rsid w:val="00965E76"/>
    <w:rsid w:val="0097306D"/>
    <w:rsid w:val="00974904"/>
    <w:rsid w:val="00975850"/>
    <w:rsid w:val="009768E5"/>
    <w:rsid w:val="00977A99"/>
    <w:rsid w:val="00982041"/>
    <w:rsid w:val="00990749"/>
    <w:rsid w:val="0099233B"/>
    <w:rsid w:val="00996A6E"/>
    <w:rsid w:val="009A0D33"/>
    <w:rsid w:val="009A1912"/>
    <w:rsid w:val="009A2A02"/>
    <w:rsid w:val="009A431F"/>
    <w:rsid w:val="009B2C35"/>
    <w:rsid w:val="009D004C"/>
    <w:rsid w:val="009D6015"/>
    <w:rsid w:val="009E0577"/>
    <w:rsid w:val="009F0DCD"/>
    <w:rsid w:val="009F3E79"/>
    <w:rsid w:val="009F5F76"/>
    <w:rsid w:val="00A06F84"/>
    <w:rsid w:val="00A15EB7"/>
    <w:rsid w:val="00A1697A"/>
    <w:rsid w:val="00A508E6"/>
    <w:rsid w:val="00A50F95"/>
    <w:rsid w:val="00A51E26"/>
    <w:rsid w:val="00A56776"/>
    <w:rsid w:val="00A56872"/>
    <w:rsid w:val="00A56B6F"/>
    <w:rsid w:val="00A570C5"/>
    <w:rsid w:val="00A74219"/>
    <w:rsid w:val="00A806AE"/>
    <w:rsid w:val="00A821C5"/>
    <w:rsid w:val="00A84557"/>
    <w:rsid w:val="00A845CB"/>
    <w:rsid w:val="00A85AA9"/>
    <w:rsid w:val="00A85B7E"/>
    <w:rsid w:val="00A91472"/>
    <w:rsid w:val="00A92884"/>
    <w:rsid w:val="00A93979"/>
    <w:rsid w:val="00A96A57"/>
    <w:rsid w:val="00AB54BB"/>
    <w:rsid w:val="00AB626B"/>
    <w:rsid w:val="00AB7D73"/>
    <w:rsid w:val="00AC0FA5"/>
    <w:rsid w:val="00AC3DE2"/>
    <w:rsid w:val="00AC46FD"/>
    <w:rsid w:val="00AD6A15"/>
    <w:rsid w:val="00AD740B"/>
    <w:rsid w:val="00AE18DF"/>
    <w:rsid w:val="00AE6F84"/>
    <w:rsid w:val="00AE7FD7"/>
    <w:rsid w:val="00AF1CC5"/>
    <w:rsid w:val="00AF2EE0"/>
    <w:rsid w:val="00AF6006"/>
    <w:rsid w:val="00AF7E01"/>
    <w:rsid w:val="00B0083F"/>
    <w:rsid w:val="00B012A0"/>
    <w:rsid w:val="00B06BBD"/>
    <w:rsid w:val="00B11265"/>
    <w:rsid w:val="00B125B5"/>
    <w:rsid w:val="00B15D5B"/>
    <w:rsid w:val="00B26B8D"/>
    <w:rsid w:val="00B330CB"/>
    <w:rsid w:val="00B37A22"/>
    <w:rsid w:val="00B518F0"/>
    <w:rsid w:val="00B628CC"/>
    <w:rsid w:val="00B63F1C"/>
    <w:rsid w:val="00B7503C"/>
    <w:rsid w:val="00B80771"/>
    <w:rsid w:val="00B832D2"/>
    <w:rsid w:val="00B84086"/>
    <w:rsid w:val="00B86332"/>
    <w:rsid w:val="00B86E65"/>
    <w:rsid w:val="00B91840"/>
    <w:rsid w:val="00B96C47"/>
    <w:rsid w:val="00BB0BE7"/>
    <w:rsid w:val="00BB6BBF"/>
    <w:rsid w:val="00BD2AB5"/>
    <w:rsid w:val="00BE3FBD"/>
    <w:rsid w:val="00BF09AF"/>
    <w:rsid w:val="00BF6DB9"/>
    <w:rsid w:val="00BF71FB"/>
    <w:rsid w:val="00C02818"/>
    <w:rsid w:val="00C053BE"/>
    <w:rsid w:val="00C16249"/>
    <w:rsid w:val="00C208B1"/>
    <w:rsid w:val="00C2260A"/>
    <w:rsid w:val="00C23295"/>
    <w:rsid w:val="00C3789A"/>
    <w:rsid w:val="00C45C4F"/>
    <w:rsid w:val="00C74128"/>
    <w:rsid w:val="00C80479"/>
    <w:rsid w:val="00C804DF"/>
    <w:rsid w:val="00C9066E"/>
    <w:rsid w:val="00C90BF5"/>
    <w:rsid w:val="00C90DC8"/>
    <w:rsid w:val="00C912F9"/>
    <w:rsid w:val="00C919AF"/>
    <w:rsid w:val="00C95690"/>
    <w:rsid w:val="00C96101"/>
    <w:rsid w:val="00CB25CF"/>
    <w:rsid w:val="00CB2F2E"/>
    <w:rsid w:val="00CB66B1"/>
    <w:rsid w:val="00CC6CA3"/>
    <w:rsid w:val="00CD2AEA"/>
    <w:rsid w:val="00CD3650"/>
    <w:rsid w:val="00CD7C6D"/>
    <w:rsid w:val="00CE5643"/>
    <w:rsid w:val="00CE7CF7"/>
    <w:rsid w:val="00D013B5"/>
    <w:rsid w:val="00D07917"/>
    <w:rsid w:val="00D147D1"/>
    <w:rsid w:val="00D15F6E"/>
    <w:rsid w:val="00D17B23"/>
    <w:rsid w:val="00D25970"/>
    <w:rsid w:val="00D33E97"/>
    <w:rsid w:val="00D3749C"/>
    <w:rsid w:val="00D37A92"/>
    <w:rsid w:val="00D37C42"/>
    <w:rsid w:val="00D4172E"/>
    <w:rsid w:val="00D44D2F"/>
    <w:rsid w:val="00D45065"/>
    <w:rsid w:val="00D45868"/>
    <w:rsid w:val="00D45D81"/>
    <w:rsid w:val="00D512F3"/>
    <w:rsid w:val="00D633D5"/>
    <w:rsid w:val="00D71A98"/>
    <w:rsid w:val="00D72B5A"/>
    <w:rsid w:val="00D747A3"/>
    <w:rsid w:val="00D75E77"/>
    <w:rsid w:val="00D80FED"/>
    <w:rsid w:val="00D82E94"/>
    <w:rsid w:val="00D8326D"/>
    <w:rsid w:val="00D837EE"/>
    <w:rsid w:val="00D90E3E"/>
    <w:rsid w:val="00D94844"/>
    <w:rsid w:val="00D955D8"/>
    <w:rsid w:val="00DB4208"/>
    <w:rsid w:val="00DC1D23"/>
    <w:rsid w:val="00DC7C92"/>
    <w:rsid w:val="00DD512A"/>
    <w:rsid w:val="00DE0178"/>
    <w:rsid w:val="00DE3FBB"/>
    <w:rsid w:val="00DF4835"/>
    <w:rsid w:val="00DF543B"/>
    <w:rsid w:val="00E01AA1"/>
    <w:rsid w:val="00E0610A"/>
    <w:rsid w:val="00E32D43"/>
    <w:rsid w:val="00E34287"/>
    <w:rsid w:val="00E41D1F"/>
    <w:rsid w:val="00E4649E"/>
    <w:rsid w:val="00E47322"/>
    <w:rsid w:val="00E52415"/>
    <w:rsid w:val="00E551C0"/>
    <w:rsid w:val="00E60534"/>
    <w:rsid w:val="00E64018"/>
    <w:rsid w:val="00E6647C"/>
    <w:rsid w:val="00E72A3A"/>
    <w:rsid w:val="00E76DD2"/>
    <w:rsid w:val="00E83980"/>
    <w:rsid w:val="00E83E83"/>
    <w:rsid w:val="00E84D34"/>
    <w:rsid w:val="00E8553E"/>
    <w:rsid w:val="00E921DC"/>
    <w:rsid w:val="00E96376"/>
    <w:rsid w:val="00EA1892"/>
    <w:rsid w:val="00EA6490"/>
    <w:rsid w:val="00EB45D1"/>
    <w:rsid w:val="00EB7D1B"/>
    <w:rsid w:val="00EC2F58"/>
    <w:rsid w:val="00EC3505"/>
    <w:rsid w:val="00EC590A"/>
    <w:rsid w:val="00EC738E"/>
    <w:rsid w:val="00ED186A"/>
    <w:rsid w:val="00ED2042"/>
    <w:rsid w:val="00ED6B34"/>
    <w:rsid w:val="00EE0232"/>
    <w:rsid w:val="00EE08B4"/>
    <w:rsid w:val="00EF2A5D"/>
    <w:rsid w:val="00EF2AEC"/>
    <w:rsid w:val="00EF58F6"/>
    <w:rsid w:val="00EF76C2"/>
    <w:rsid w:val="00F01F2B"/>
    <w:rsid w:val="00F02C68"/>
    <w:rsid w:val="00F02FEB"/>
    <w:rsid w:val="00F03BAA"/>
    <w:rsid w:val="00F05484"/>
    <w:rsid w:val="00F125C8"/>
    <w:rsid w:val="00F13052"/>
    <w:rsid w:val="00F142D8"/>
    <w:rsid w:val="00F206F4"/>
    <w:rsid w:val="00F22C1F"/>
    <w:rsid w:val="00F279D6"/>
    <w:rsid w:val="00F42090"/>
    <w:rsid w:val="00F446EB"/>
    <w:rsid w:val="00F47863"/>
    <w:rsid w:val="00F5257D"/>
    <w:rsid w:val="00F61F4A"/>
    <w:rsid w:val="00F629B2"/>
    <w:rsid w:val="00F6669E"/>
    <w:rsid w:val="00F7183C"/>
    <w:rsid w:val="00F73F8B"/>
    <w:rsid w:val="00F745D0"/>
    <w:rsid w:val="00F77623"/>
    <w:rsid w:val="00F77FDA"/>
    <w:rsid w:val="00F803DC"/>
    <w:rsid w:val="00F83BC8"/>
    <w:rsid w:val="00F864D5"/>
    <w:rsid w:val="00F86D02"/>
    <w:rsid w:val="00F87144"/>
    <w:rsid w:val="00F93773"/>
    <w:rsid w:val="00F95C3A"/>
    <w:rsid w:val="00F95D73"/>
    <w:rsid w:val="00FA0F44"/>
    <w:rsid w:val="00FB0B58"/>
    <w:rsid w:val="00FB0F4B"/>
    <w:rsid w:val="00FB1273"/>
    <w:rsid w:val="00FB2E50"/>
    <w:rsid w:val="00FC2A02"/>
    <w:rsid w:val="00FC3FB0"/>
    <w:rsid w:val="00FC4AD6"/>
    <w:rsid w:val="00FD1300"/>
    <w:rsid w:val="00FD2820"/>
    <w:rsid w:val="00FD4BC4"/>
    <w:rsid w:val="00FE0BE5"/>
    <w:rsid w:val="00FE64F4"/>
    <w:rsid w:val="00FE6C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3733E7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paragraph" w:customStyle="1" w:styleId="Subheading">
    <w:name w:val="Subheading"/>
    <w:basedOn w:val="Normal"/>
    <w:locked/>
    <w:rsid w:val="004307AB"/>
    <w:pPr>
      <w:widowControl/>
      <w:autoSpaceDE/>
      <w:autoSpaceDN/>
      <w:spacing w:before="240" w:after="120"/>
    </w:pPr>
    <w:rPr>
      <w:rFonts w:ascii="Arial" w:eastAsia="MS Mincho" w:hAnsi="Arial" w:cs="Times New Roman"/>
      <w:noProof/>
      <w:color w:val="00599C"/>
      <w:sz w:val="36"/>
      <w:szCs w:val="20"/>
    </w:rPr>
  </w:style>
  <w:style w:type="paragraph" w:customStyle="1" w:styleId="mainheading">
    <w:name w:val="mainheading"/>
    <w:basedOn w:val="Normal"/>
    <w:rsid w:val="004307AB"/>
    <w:pPr>
      <w:widowControl/>
      <w:autoSpaceDE/>
      <w:autoSpaceDN/>
      <w:spacing w:before="40"/>
    </w:pPr>
    <w:rPr>
      <w:rFonts w:ascii="Arial" w:eastAsiaTheme="minorHAnsi" w:hAnsi="Arial"/>
      <w:color w:val="00599C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450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0AD7"/>
    <w:pPr>
      <w:widowControl/>
      <w:autoSpaceDE/>
      <w:autoSpaceDN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671">
          <w:marLeft w:val="0"/>
          <w:marRight w:val="0"/>
          <w:marTop w:val="0"/>
          <w:marBottom w:val="0"/>
          <w:divBdr>
            <w:top w:val="none" w:sz="0" w:space="12" w:color="DDDDDD"/>
            <w:left w:val="none" w:sz="0" w:space="12" w:color="DDDDDD"/>
            <w:bottom w:val="none" w:sz="0" w:space="0" w:color="auto"/>
            <w:right w:val="none" w:sz="0" w:space="12" w:color="DDDDDD"/>
          </w:divBdr>
        </w:div>
        <w:div w:id="316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0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forms-instructions" TargetMode="External"/><Relationship Id="rId13" Type="http://schemas.openxmlformats.org/officeDocument/2006/relationships/hyperlink" Target="https://www.irs.gov/zh-hans/newsroom/recovery-rebate-credit" TargetMode="External"/><Relationship Id="rId18" Type="http://schemas.openxmlformats.org/officeDocument/2006/relationships/hyperlink" Target="https://www.irs.gov/zh-hans/paymen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rs.gov/zh-hans/individuals/steps-to-take-now-to-get-a-jump-on-next-years-tax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s.gov/zh-hans/credits-deductions/child-tax-credit-update-portal" TargetMode="External"/><Relationship Id="rId17" Type="http://schemas.openxmlformats.org/officeDocument/2006/relationships/hyperlink" Target="https://www.irs.gov/zh-hans/payments/your-online-accou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rs.gov/individuals/understanding-your-cp01a-notice" TargetMode="External"/><Relationship Id="rId20" Type="http://schemas.openxmlformats.org/officeDocument/2006/relationships/hyperlink" Target="https://www.mycreditunion.gov/about-credit-unions/credit-union-loca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zh-hans/individuals/free-tax-return-preparation-for-qualifying-taxpayer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rs.gov/zh-hans/refunds/get-your-refund-faster-tell-irs-to-direct-deposit-your-refund-to-one-two-or-three-account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rs.gov/zh-hans/individuals/free-tax-return-preparation-for-qualifying-taxpayers" TargetMode="External"/><Relationship Id="rId19" Type="http://schemas.openxmlformats.org/officeDocument/2006/relationships/hyperlink" Target="https://www.fdic.gov/getbank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zh-hans/filing/free-file-do-your-federal-taxes-for-free" TargetMode="External"/><Relationship Id="rId14" Type="http://schemas.openxmlformats.org/officeDocument/2006/relationships/hyperlink" Target="https://www.irs.gov/zh-hans/payments/your-online-accoun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1ECE-696C-41EA-8A4D-FFE56974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4816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Dinh Leuyen D</cp:lastModifiedBy>
  <cp:revision>2</cp:revision>
  <cp:lastPrinted>2019-06-04T14:48:00Z</cp:lastPrinted>
  <dcterms:created xsi:type="dcterms:W3CDTF">2022-01-10T16:53:00Z</dcterms:created>
  <dcterms:modified xsi:type="dcterms:W3CDTF">2022-01-10T16:53:00Z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