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427F64" w:rsidTr="19BA1CF9">
        <w:tc>
          <w:tcPr>
            <w:tcW w:w="9029" w:type="dxa"/>
          </w:tcPr>
          <w:p w:rsidR="00184152" w:rsidRDefault="00C922E8" w:rsidP="00184152">
            <w:pPr>
              <w:pStyle w:val="Header"/>
              <w:ind w:left="-72"/>
            </w:pPr>
            <w:r>
              <w:rPr>
                <w:noProof/>
              </w:rPr>
              <w:drawing>
                <wp:anchor distT="0" distB="0" distL="114300" distR="114300" simplePos="0" relativeHeight="251676672" behindDoc="0" locked="0" layoutInCell="1" allowOverlap="1" wp14:anchorId="4E65D8D9" wp14:editId="343CCD75">
                  <wp:simplePos x="0" y="0"/>
                  <wp:positionH relativeFrom="column">
                    <wp:posOffset>-42545</wp:posOffset>
                  </wp:positionH>
                  <wp:positionV relativeFrom="paragraph">
                    <wp:posOffset>6350</wp:posOffset>
                  </wp:positionV>
                  <wp:extent cx="3194050" cy="72707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2">
                            <a:extLst>
                              <a:ext uri="{28A0092B-C50C-407E-A947-70E740481C1C}">
                                <a14:useLocalDpi xmlns:a14="http://schemas.microsoft.com/office/drawing/2010/main" val="0"/>
                              </a:ext>
                            </a:extLst>
                          </a:blip>
                          <a:stretch>
                            <a:fillRect/>
                          </a:stretch>
                        </pic:blipFill>
                        <pic:spPr>
                          <a:xfrm>
                            <a:off x="0" y="0"/>
                            <a:ext cx="3194050" cy="727075"/>
                          </a:xfrm>
                          <a:prstGeom prst="rect">
                            <a:avLst/>
                          </a:prstGeom>
                        </pic:spPr>
                      </pic:pic>
                    </a:graphicData>
                  </a:graphic>
                  <wp14:sizeRelH relativeFrom="page">
                    <wp14:pctWidth>0</wp14:pctWidth>
                  </wp14:sizeRelH>
                  <wp14:sizeRelV relativeFrom="page">
                    <wp14:pctHeight>0</wp14:pctHeight>
                  </wp14:sizeRelV>
                </wp:anchor>
              </w:drawing>
            </w:r>
          </w:p>
          <w:p w:rsidR="00427F64" w:rsidRDefault="00184152" w:rsidP="00184152">
            <w:pPr>
              <w:pStyle w:val="Header"/>
              <w:ind w:left="-72"/>
            </w:pPr>
            <w:r>
              <w:rPr>
                <w:noProof/>
              </w:rPr>
              <w:drawing>
                <wp:anchor distT="0" distB="0" distL="114300" distR="114300" simplePos="0" relativeHeight="251675648" behindDoc="0" locked="0" layoutInCell="1" allowOverlap="1" wp14:anchorId="1BA2C611" wp14:editId="4E95355E">
                  <wp:simplePos x="0" y="0"/>
                  <wp:positionH relativeFrom="column">
                    <wp:posOffset>3863975</wp:posOffset>
                  </wp:positionH>
                  <wp:positionV relativeFrom="paragraph">
                    <wp:posOffset>-144145</wp:posOffset>
                  </wp:positionV>
                  <wp:extent cx="1693545" cy="69405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G CNG News Release header.jpg"/>
                          <pic:cNvPicPr/>
                        </pic:nvPicPr>
                        <pic:blipFill rotWithShape="1">
                          <a:blip r:embed="rId13" cstate="print">
                            <a:extLst>
                              <a:ext uri="{28A0092B-C50C-407E-A947-70E740481C1C}">
                                <a14:useLocalDpi xmlns:a14="http://schemas.microsoft.com/office/drawing/2010/main" val="0"/>
                              </a:ext>
                            </a:extLst>
                          </a:blip>
                          <a:srcRect l="69701"/>
                          <a:stretch/>
                        </pic:blipFill>
                        <pic:spPr bwMode="auto">
                          <a:xfrm>
                            <a:off x="0" y="0"/>
                            <a:ext cx="1693545"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6182" w:rsidRDefault="00326182" w:rsidP="000656BC">
            <w:pPr>
              <w:pStyle w:val="Header"/>
              <w:ind w:left="-72"/>
            </w:pPr>
          </w:p>
        </w:tc>
      </w:tr>
    </w:tbl>
    <w:p w:rsidR="00146DA9" w:rsidRDefault="00146DA9"/>
    <w:p w:rsidR="00427F64" w:rsidRDefault="00427F64"/>
    <w:p w:rsidR="00E42313" w:rsidRDefault="00E42313"/>
    <w:p w:rsidR="00427F64" w:rsidRDefault="00427F64"/>
    <w:tbl>
      <w:tblPr>
        <w:tblStyle w:val="TableGrid"/>
        <w:tblW w:w="874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427F64" w:rsidTr="19BA1CF9">
        <w:tc>
          <w:tcPr>
            <w:tcW w:w="8748" w:type="dxa"/>
          </w:tcPr>
          <w:p w:rsidR="00E42313" w:rsidRPr="003C6475" w:rsidRDefault="00E42313" w:rsidP="00E42313">
            <w:pPr>
              <w:autoSpaceDE w:val="0"/>
              <w:autoSpaceDN w:val="0"/>
              <w:adjustRightInd w:val="0"/>
              <w:rPr>
                <w:rFonts w:ascii="Arial" w:hAnsi="Arial"/>
                <w:sz w:val="21"/>
                <w:szCs w:val="21"/>
              </w:rPr>
            </w:pPr>
            <w:r w:rsidRPr="003C6475">
              <w:rPr>
                <w:rFonts w:ascii="Arial" w:hAnsi="Arial"/>
                <w:sz w:val="21"/>
                <w:szCs w:val="21"/>
              </w:rPr>
              <w:t>FOR IMMEDIATE RELEASE</w:t>
            </w:r>
          </w:p>
          <w:p w:rsidR="00E42313" w:rsidRPr="003C6475" w:rsidRDefault="00E42313" w:rsidP="00427F64">
            <w:pPr>
              <w:autoSpaceDE w:val="0"/>
              <w:autoSpaceDN w:val="0"/>
              <w:adjustRightInd w:val="0"/>
              <w:rPr>
                <w:rFonts w:ascii="Arial" w:hAnsi="Arial"/>
                <w:b/>
                <w:sz w:val="21"/>
                <w:szCs w:val="21"/>
              </w:rPr>
            </w:pPr>
          </w:p>
          <w:p w:rsidR="00E42313" w:rsidRPr="003C6475" w:rsidRDefault="00E42313" w:rsidP="00427F64">
            <w:pPr>
              <w:autoSpaceDE w:val="0"/>
              <w:autoSpaceDN w:val="0"/>
              <w:adjustRightInd w:val="0"/>
              <w:rPr>
                <w:rFonts w:ascii="Arial" w:hAnsi="Arial"/>
                <w:b/>
                <w:sz w:val="21"/>
                <w:szCs w:val="21"/>
              </w:rPr>
            </w:pPr>
          </w:p>
          <w:p w:rsidR="00E5120C" w:rsidRDefault="003D544C" w:rsidP="00E5120C">
            <w:pPr>
              <w:autoSpaceDE w:val="0"/>
              <w:autoSpaceDN w:val="0"/>
              <w:adjustRightInd w:val="0"/>
              <w:spacing w:after="120"/>
              <w:jc w:val="center"/>
              <w:rPr>
                <w:rFonts w:ascii="Arial" w:hAnsi="Arial"/>
                <w:b/>
                <w:sz w:val="28"/>
                <w:szCs w:val="28"/>
              </w:rPr>
            </w:pPr>
            <w:r>
              <w:rPr>
                <w:rFonts w:ascii="Arial" w:hAnsi="Arial"/>
                <w:b/>
                <w:sz w:val="28"/>
                <w:szCs w:val="28"/>
              </w:rPr>
              <w:t>UI, SCG and CNG Urge Customers To Enroll in Payment Plans</w:t>
            </w:r>
            <w:r>
              <w:rPr>
                <w:rFonts w:ascii="Arial" w:hAnsi="Arial"/>
                <w:b/>
                <w:sz w:val="28"/>
                <w:szCs w:val="28"/>
              </w:rPr>
              <w:br/>
              <w:t>Before Regular Collections Resume</w:t>
            </w:r>
          </w:p>
          <w:p w:rsidR="00E5120C" w:rsidRPr="00065E24" w:rsidRDefault="003D544C" w:rsidP="00E5120C">
            <w:pPr>
              <w:autoSpaceDE w:val="0"/>
              <w:autoSpaceDN w:val="0"/>
              <w:adjustRightInd w:val="0"/>
              <w:spacing w:after="120"/>
              <w:jc w:val="center"/>
              <w:rPr>
                <w:rFonts w:ascii="Arial" w:hAnsi="Arial"/>
                <w:i/>
              </w:rPr>
            </w:pPr>
            <w:r>
              <w:rPr>
                <w:rFonts w:ascii="Arial" w:hAnsi="Arial"/>
                <w:i/>
              </w:rPr>
              <w:t>Programs are available to help customers pay down balances</w:t>
            </w:r>
            <w:r>
              <w:rPr>
                <w:rFonts w:ascii="Arial" w:hAnsi="Arial"/>
                <w:i/>
              </w:rPr>
              <w:br/>
              <w:t xml:space="preserve">and prevent </w:t>
            </w:r>
            <w:r w:rsidR="008D1186">
              <w:rPr>
                <w:rFonts w:ascii="Arial" w:hAnsi="Arial"/>
                <w:i/>
              </w:rPr>
              <w:t xml:space="preserve">service </w:t>
            </w:r>
            <w:r>
              <w:rPr>
                <w:rFonts w:ascii="Arial" w:hAnsi="Arial"/>
                <w:i/>
              </w:rPr>
              <w:t>disconnection</w:t>
            </w:r>
          </w:p>
          <w:p w:rsidR="00E5120C" w:rsidRPr="003C6475" w:rsidRDefault="00E5120C" w:rsidP="00E5120C">
            <w:pPr>
              <w:autoSpaceDE w:val="0"/>
              <w:autoSpaceDN w:val="0"/>
              <w:adjustRightInd w:val="0"/>
              <w:rPr>
                <w:rFonts w:ascii="Arial" w:hAnsi="Arial"/>
                <w:b/>
                <w:sz w:val="21"/>
                <w:szCs w:val="21"/>
              </w:rPr>
            </w:pPr>
          </w:p>
          <w:p w:rsidR="00A6691E" w:rsidRDefault="00F20A9C" w:rsidP="00835D9A">
            <w:pPr>
              <w:spacing w:after="120" w:line="360" w:lineRule="auto"/>
              <w:rPr>
                <w:rFonts w:ascii="Arial" w:hAnsi="Arial"/>
                <w:sz w:val="21"/>
                <w:szCs w:val="21"/>
              </w:rPr>
            </w:pPr>
            <w:r>
              <w:rPr>
                <w:rFonts w:ascii="Arial" w:hAnsi="Arial"/>
                <w:b/>
                <w:sz w:val="21"/>
                <w:szCs w:val="21"/>
              </w:rPr>
              <w:t>ORANGE</w:t>
            </w:r>
            <w:r w:rsidR="00835D9A" w:rsidRPr="003A651C">
              <w:rPr>
                <w:rFonts w:ascii="Arial" w:hAnsi="Arial"/>
                <w:b/>
                <w:sz w:val="21"/>
                <w:szCs w:val="21"/>
              </w:rPr>
              <w:t xml:space="preserve">, </w:t>
            </w:r>
            <w:r>
              <w:rPr>
                <w:rFonts w:ascii="Arial" w:hAnsi="Arial"/>
                <w:b/>
                <w:sz w:val="21"/>
                <w:szCs w:val="21"/>
              </w:rPr>
              <w:t>Conn.</w:t>
            </w:r>
            <w:r w:rsidR="00835D9A" w:rsidRPr="003A651C">
              <w:rPr>
                <w:rFonts w:ascii="Arial" w:hAnsi="Arial"/>
                <w:b/>
                <w:sz w:val="21"/>
                <w:szCs w:val="21"/>
              </w:rPr>
              <w:t xml:space="preserve"> — </w:t>
            </w:r>
            <w:r>
              <w:rPr>
                <w:rFonts w:ascii="Arial" w:hAnsi="Arial"/>
                <w:b/>
                <w:sz w:val="21"/>
                <w:szCs w:val="21"/>
              </w:rPr>
              <w:t xml:space="preserve">Sept. 9, 2020 </w:t>
            </w:r>
            <w:r w:rsidR="00835D9A" w:rsidRPr="003A651C">
              <w:rPr>
                <w:rFonts w:ascii="Arial" w:hAnsi="Arial"/>
                <w:b/>
                <w:sz w:val="21"/>
                <w:szCs w:val="21"/>
              </w:rPr>
              <w:t>—</w:t>
            </w:r>
            <w:r w:rsidR="00835D9A" w:rsidRPr="003C6475">
              <w:rPr>
                <w:rFonts w:ascii="Arial" w:hAnsi="Arial"/>
                <w:b/>
                <w:sz w:val="21"/>
                <w:szCs w:val="21"/>
              </w:rPr>
              <w:t xml:space="preserve"> </w:t>
            </w:r>
            <w:hyperlink r:id="rId14" w:history="1">
              <w:r w:rsidRPr="00F20A9C">
                <w:rPr>
                  <w:rStyle w:val="Hyperlink"/>
                  <w:rFonts w:ascii="Arial" w:hAnsi="Arial"/>
                  <w:sz w:val="21"/>
                  <w:szCs w:val="21"/>
                </w:rPr>
                <w:t>United Illuminating</w:t>
              </w:r>
            </w:hyperlink>
            <w:r>
              <w:rPr>
                <w:rFonts w:ascii="Arial" w:hAnsi="Arial"/>
                <w:sz w:val="21"/>
                <w:szCs w:val="21"/>
              </w:rPr>
              <w:t xml:space="preserve"> (UI), </w:t>
            </w:r>
            <w:hyperlink r:id="rId15" w:history="1">
              <w:r w:rsidRPr="00F20A9C">
                <w:rPr>
                  <w:rStyle w:val="Hyperlink"/>
                  <w:rFonts w:ascii="Arial" w:hAnsi="Arial"/>
                  <w:sz w:val="21"/>
                  <w:szCs w:val="21"/>
                </w:rPr>
                <w:t>Southern Connecticut Gas</w:t>
              </w:r>
            </w:hyperlink>
            <w:r>
              <w:rPr>
                <w:rFonts w:ascii="Arial" w:hAnsi="Arial"/>
                <w:sz w:val="21"/>
                <w:szCs w:val="21"/>
              </w:rPr>
              <w:t xml:space="preserve"> (SCG) and </w:t>
            </w:r>
            <w:hyperlink r:id="rId16" w:history="1">
              <w:r w:rsidRPr="00F20A9C">
                <w:rPr>
                  <w:rStyle w:val="Hyperlink"/>
                  <w:rFonts w:ascii="Arial" w:hAnsi="Arial"/>
                  <w:sz w:val="21"/>
                  <w:szCs w:val="21"/>
                </w:rPr>
                <w:t>Connecticut Natural Gas</w:t>
              </w:r>
            </w:hyperlink>
            <w:r>
              <w:rPr>
                <w:rFonts w:ascii="Arial" w:hAnsi="Arial"/>
                <w:sz w:val="21"/>
                <w:szCs w:val="21"/>
              </w:rPr>
              <w:t xml:space="preserve"> (CNG) are urging customers who </w:t>
            </w:r>
            <w:r w:rsidR="003D544C">
              <w:rPr>
                <w:rFonts w:ascii="Arial" w:hAnsi="Arial"/>
                <w:sz w:val="21"/>
                <w:szCs w:val="21"/>
              </w:rPr>
              <w:t>are</w:t>
            </w:r>
            <w:r>
              <w:rPr>
                <w:rFonts w:ascii="Arial" w:hAnsi="Arial"/>
                <w:sz w:val="21"/>
                <w:szCs w:val="21"/>
              </w:rPr>
              <w:t xml:space="preserve"> behind on</w:t>
            </w:r>
            <w:r w:rsidR="003D544C">
              <w:rPr>
                <w:rFonts w:ascii="Arial" w:hAnsi="Arial"/>
                <w:sz w:val="21"/>
                <w:szCs w:val="21"/>
              </w:rPr>
              <w:t xml:space="preserve"> their</w:t>
            </w:r>
            <w:r>
              <w:rPr>
                <w:rFonts w:ascii="Arial" w:hAnsi="Arial"/>
                <w:sz w:val="21"/>
                <w:szCs w:val="21"/>
              </w:rPr>
              <w:t xml:space="preserve"> bills to sign up for 24-month COVID Payment Plans and other</w:t>
            </w:r>
            <w:r w:rsidR="003D544C">
              <w:rPr>
                <w:rFonts w:ascii="Arial" w:hAnsi="Arial"/>
                <w:sz w:val="21"/>
                <w:szCs w:val="21"/>
              </w:rPr>
              <w:t xml:space="preserve"> assistance</w:t>
            </w:r>
            <w:r>
              <w:rPr>
                <w:rFonts w:ascii="Arial" w:hAnsi="Arial"/>
                <w:sz w:val="21"/>
                <w:szCs w:val="21"/>
              </w:rPr>
              <w:t xml:space="preserve"> programs before regular collections activities resume </w:t>
            </w:r>
            <w:r w:rsidR="00A6691E">
              <w:rPr>
                <w:rFonts w:ascii="Arial" w:hAnsi="Arial"/>
                <w:sz w:val="21"/>
                <w:szCs w:val="21"/>
              </w:rPr>
              <w:t>on October 1, 2020.</w:t>
            </w:r>
          </w:p>
          <w:p w:rsidR="00F20A9C" w:rsidRDefault="00F20A9C" w:rsidP="00835D9A">
            <w:pPr>
              <w:spacing w:after="120" w:line="360" w:lineRule="auto"/>
              <w:rPr>
                <w:rFonts w:ascii="Arial" w:hAnsi="Arial"/>
                <w:sz w:val="21"/>
                <w:szCs w:val="21"/>
              </w:rPr>
            </w:pPr>
            <w:r>
              <w:rPr>
                <w:rFonts w:ascii="Arial" w:hAnsi="Arial"/>
                <w:sz w:val="21"/>
                <w:szCs w:val="21"/>
              </w:rPr>
              <w:t>The</w:t>
            </w:r>
            <w:r w:rsidR="00DE35C1">
              <w:rPr>
                <w:rFonts w:ascii="Arial" w:hAnsi="Arial"/>
                <w:sz w:val="21"/>
                <w:szCs w:val="21"/>
              </w:rPr>
              <w:t xml:space="preserve"> payment</w:t>
            </w:r>
            <w:r>
              <w:rPr>
                <w:rFonts w:ascii="Arial" w:hAnsi="Arial"/>
                <w:sz w:val="21"/>
                <w:szCs w:val="21"/>
              </w:rPr>
              <w:t xml:space="preserve"> plans allow customers impacted by the pandemic to pay off accumulated balances on their UI, SCG or CNG bills over a two</w:t>
            </w:r>
            <w:r w:rsidR="006B2BE9">
              <w:rPr>
                <w:rFonts w:ascii="Arial" w:hAnsi="Arial"/>
                <w:sz w:val="21"/>
                <w:szCs w:val="21"/>
              </w:rPr>
              <w:t xml:space="preserve">-year period, with no </w:t>
            </w:r>
            <w:r w:rsidR="00FB691F" w:rsidRPr="00C41AC5">
              <w:rPr>
                <w:rFonts w:ascii="Arial" w:hAnsi="Arial"/>
                <w:sz w:val="21"/>
                <w:szCs w:val="21"/>
              </w:rPr>
              <w:t>security deposits,</w:t>
            </w:r>
            <w:r w:rsidR="00FB691F">
              <w:rPr>
                <w:rFonts w:ascii="Arial" w:hAnsi="Arial"/>
                <w:sz w:val="21"/>
                <w:szCs w:val="21"/>
              </w:rPr>
              <w:t xml:space="preserve"> </w:t>
            </w:r>
            <w:r w:rsidR="006B2BE9">
              <w:rPr>
                <w:rFonts w:ascii="Arial" w:hAnsi="Arial"/>
                <w:sz w:val="21"/>
                <w:szCs w:val="21"/>
              </w:rPr>
              <w:t>penalty</w:t>
            </w:r>
            <w:r w:rsidR="00B94B35">
              <w:rPr>
                <w:rFonts w:ascii="Arial" w:hAnsi="Arial"/>
                <w:sz w:val="21"/>
                <w:szCs w:val="21"/>
              </w:rPr>
              <w:t xml:space="preserve"> or</w:t>
            </w:r>
            <w:r>
              <w:rPr>
                <w:rFonts w:ascii="Arial" w:hAnsi="Arial"/>
                <w:sz w:val="21"/>
                <w:szCs w:val="21"/>
              </w:rPr>
              <w:t xml:space="preserve"> interest. The enrollment deadline is Nov. 1 for residential customers and Oct. 1 for business customers. Those customers </w:t>
            </w:r>
            <w:r w:rsidR="00061678">
              <w:rPr>
                <w:rFonts w:ascii="Arial" w:hAnsi="Arial"/>
                <w:sz w:val="21"/>
                <w:szCs w:val="21"/>
              </w:rPr>
              <w:t xml:space="preserve">who </w:t>
            </w:r>
            <w:r w:rsidR="00DE35C1">
              <w:rPr>
                <w:rFonts w:ascii="Arial" w:hAnsi="Arial"/>
                <w:sz w:val="21"/>
                <w:szCs w:val="21"/>
              </w:rPr>
              <w:t>have</w:t>
            </w:r>
            <w:r>
              <w:rPr>
                <w:rFonts w:ascii="Arial" w:hAnsi="Arial"/>
                <w:sz w:val="21"/>
                <w:szCs w:val="21"/>
              </w:rPr>
              <w:t xml:space="preserve"> accounts with more than one of the companies will need to enroll separately for each company.</w:t>
            </w:r>
          </w:p>
          <w:p w:rsidR="00F20A9C" w:rsidRDefault="00F20A9C" w:rsidP="00F20A9C">
            <w:pPr>
              <w:spacing w:after="120" w:line="360" w:lineRule="auto"/>
              <w:rPr>
                <w:rFonts w:ascii="Arial" w:hAnsi="Arial"/>
                <w:sz w:val="21"/>
                <w:szCs w:val="21"/>
              </w:rPr>
            </w:pPr>
            <w:r>
              <w:rPr>
                <w:rFonts w:ascii="Arial" w:hAnsi="Arial"/>
                <w:sz w:val="21"/>
                <w:szCs w:val="21"/>
              </w:rPr>
              <w:t xml:space="preserve">“Many of our customers are still struggling from the </w:t>
            </w:r>
            <w:r w:rsidR="00AB15A2">
              <w:rPr>
                <w:rFonts w:ascii="Arial" w:hAnsi="Arial"/>
                <w:sz w:val="21"/>
                <w:szCs w:val="21"/>
              </w:rPr>
              <w:t xml:space="preserve">economic </w:t>
            </w:r>
            <w:r>
              <w:rPr>
                <w:rFonts w:ascii="Arial" w:hAnsi="Arial"/>
                <w:sz w:val="21"/>
                <w:szCs w:val="21"/>
              </w:rPr>
              <w:t xml:space="preserve">impact of the pandemic, and we recognize that the return to normal </w:t>
            </w:r>
            <w:r w:rsidR="001F7AF8">
              <w:rPr>
                <w:rFonts w:ascii="Arial" w:hAnsi="Arial"/>
                <w:sz w:val="21"/>
                <w:szCs w:val="21"/>
              </w:rPr>
              <w:t xml:space="preserve">collections </w:t>
            </w:r>
            <w:r>
              <w:rPr>
                <w:rFonts w:ascii="Arial" w:hAnsi="Arial"/>
                <w:sz w:val="21"/>
                <w:szCs w:val="21"/>
              </w:rPr>
              <w:t>will be</w:t>
            </w:r>
            <w:r w:rsidR="00AB15A2">
              <w:rPr>
                <w:rFonts w:ascii="Arial" w:hAnsi="Arial"/>
                <w:sz w:val="21"/>
                <w:szCs w:val="21"/>
              </w:rPr>
              <w:t xml:space="preserve"> challenging </w:t>
            </w:r>
            <w:r>
              <w:rPr>
                <w:rFonts w:ascii="Arial" w:hAnsi="Arial"/>
                <w:sz w:val="21"/>
                <w:szCs w:val="21"/>
              </w:rPr>
              <w:t xml:space="preserve">for some of them. We want to make sure they have the opportunity to take advantage of programs that can help them </w:t>
            </w:r>
            <w:r w:rsidR="001F7AF8" w:rsidRPr="00C41AC5">
              <w:rPr>
                <w:rFonts w:ascii="Arial" w:hAnsi="Arial"/>
                <w:sz w:val="21"/>
                <w:szCs w:val="21"/>
              </w:rPr>
              <w:t>manage their monthly bills</w:t>
            </w:r>
            <w:r>
              <w:rPr>
                <w:rFonts w:ascii="Arial" w:hAnsi="Arial"/>
                <w:sz w:val="21"/>
                <w:szCs w:val="21"/>
              </w:rPr>
              <w:t>,” said Tony Marone, president and CEO of</w:t>
            </w:r>
            <w:r w:rsidR="00B94B35">
              <w:rPr>
                <w:rFonts w:ascii="Arial" w:hAnsi="Arial"/>
                <w:sz w:val="21"/>
                <w:szCs w:val="21"/>
              </w:rPr>
              <w:t xml:space="preserve"> UI, SCG and CNG.</w:t>
            </w:r>
            <w:r>
              <w:rPr>
                <w:rFonts w:ascii="Arial" w:hAnsi="Arial"/>
                <w:sz w:val="21"/>
                <w:szCs w:val="21"/>
              </w:rPr>
              <w:t xml:space="preserve"> “For some customers who have lost income, this may be a new situation, so it’s important for them to</w:t>
            </w:r>
            <w:r w:rsidR="00AB15A2">
              <w:rPr>
                <w:rFonts w:ascii="Arial" w:hAnsi="Arial"/>
                <w:sz w:val="21"/>
                <w:szCs w:val="21"/>
              </w:rPr>
              <w:t xml:space="preserve"> be aware of the financial support</w:t>
            </w:r>
            <w:r>
              <w:rPr>
                <w:rFonts w:ascii="Arial" w:hAnsi="Arial"/>
                <w:sz w:val="21"/>
                <w:szCs w:val="21"/>
              </w:rPr>
              <w:t xml:space="preserve"> that</w:t>
            </w:r>
            <w:r w:rsidR="00AB15A2">
              <w:rPr>
                <w:rFonts w:ascii="Arial" w:hAnsi="Arial"/>
                <w:sz w:val="21"/>
                <w:szCs w:val="21"/>
              </w:rPr>
              <w:t xml:space="preserve"> is </w:t>
            </w:r>
            <w:r>
              <w:rPr>
                <w:rFonts w:ascii="Arial" w:hAnsi="Arial"/>
                <w:sz w:val="21"/>
                <w:szCs w:val="21"/>
              </w:rPr>
              <w:t>available.”</w:t>
            </w:r>
          </w:p>
          <w:p w:rsidR="003D544C" w:rsidRDefault="003D544C" w:rsidP="00835D9A">
            <w:pPr>
              <w:spacing w:after="120" w:line="360" w:lineRule="auto"/>
              <w:rPr>
                <w:rFonts w:ascii="Arial" w:hAnsi="Arial"/>
                <w:sz w:val="21"/>
                <w:szCs w:val="21"/>
              </w:rPr>
            </w:pPr>
            <w:r>
              <w:rPr>
                <w:rFonts w:ascii="Arial" w:hAnsi="Arial"/>
                <w:sz w:val="21"/>
                <w:szCs w:val="21"/>
              </w:rPr>
              <w:t xml:space="preserve">In March, </w:t>
            </w:r>
            <w:r w:rsidR="00C41AC5">
              <w:rPr>
                <w:rFonts w:ascii="Arial" w:hAnsi="Arial"/>
                <w:sz w:val="21"/>
                <w:szCs w:val="21"/>
              </w:rPr>
              <w:t xml:space="preserve">in response to the COVID-19 crisis, </w:t>
            </w:r>
            <w:r w:rsidR="00F20A9C">
              <w:rPr>
                <w:rFonts w:ascii="Arial" w:hAnsi="Arial"/>
                <w:sz w:val="21"/>
                <w:szCs w:val="21"/>
              </w:rPr>
              <w:t xml:space="preserve">UI, SCG and CNG </w:t>
            </w:r>
            <w:r>
              <w:rPr>
                <w:rFonts w:ascii="Arial" w:hAnsi="Arial"/>
                <w:sz w:val="21"/>
                <w:szCs w:val="21"/>
              </w:rPr>
              <w:t>temporarily stopped disconnecting customers for nonpayment</w:t>
            </w:r>
            <w:r w:rsidR="00C41AC5">
              <w:rPr>
                <w:rFonts w:ascii="Arial" w:hAnsi="Arial"/>
                <w:sz w:val="21"/>
                <w:szCs w:val="21"/>
              </w:rPr>
              <w:t xml:space="preserve"> and </w:t>
            </w:r>
            <w:bookmarkStart w:id="0" w:name="_GoBack"/>
            <w:bookmarkEnd w:id="0"/>
            <w:r w:rsidR="00C41AC5">
              <w:rPr>
                <w:rFonts w:ascii="Arial" w:hAnsi="Arial"/>
                <w:sz w:val="21"/>
                <w:szCs w:val="21"/>
              </w:rPr>
              <w:t>suspended s</w:t>
            </w:r>
            <w:r w:rsidR="00B94B35">
              <w:rPr>
                <w:rFonts w:ascii="Arial" w:hAnsi="Arial"/>
                <w:sz w:val="21"/>
                <w:szCs w:val="21"/>
              </w:rPr>
              <w:t xml:space="preserve">ecurity </w:t>
            </w:r>
            <w:r w:rsidR="00B94B35" w:rsidRPr="00C41AC5">
              <w:rPr>
                <w:rFonts w:ascii="Arial" w:hAnsi="Arial"/>
                <w:sz w:val="21"/>
                <w:szCs w:val="21"/>
              </w:rPr>
              <w:t>deposits and</w:t>
            </w:r>
            <w:r>
              <w:rPr>
                <w:rFonts w:ascii="Arial" w:hAnsi="Arial"/>
                <w:sz w:val="21"/>
                <w:szCs w:val="21"/>
              </w:rPr>
              <w:t xml:space="preserve"> late fees. The</w:t>
            </w:r>
            <w:r w:rsidR="00C41AC5">
              <w:rPr>
                <w:rFonts w:ascii="Arial" w:hAnsi="Arial"/>
                <w:sz w:val="21"/>
                <w:szCs w:val="21"/>
              </w:rPr>
              <w:t>y</w:t>
            </w:r>
            <w:r>
              <w:rPr>
                <w:rFonts w:ascii="Arial" w:hAnsi="Arial"/>
                <w:sz w:val="21"/>
                <w:szCs w:val="21"/>
              </w:rPr>
              <w:t xml:space="preserve"> </w:t>
            </w:r>
            <w:r w:rsidR="00F20A9C">
              <w:rPr>
                <w:rFonts w:ascii="Arial" w:hAnsi="Arial"/>
                <w:sz w:val="21"/>
                <w:szCs w:val="21"/>
              </w:rPr>
              <w:t>will begin to resume regular collection activities</w:t>
            </w:r>
            <w:r>
              <w:rPr>
                <w:rFonts w:ascii="Arial" w:hAnsi="Arial"/>
                <w:sz w:val="21"/>
                <w:szCs w:val="21"/>
              </w:rPr>
              <w:t xml:space="preserve"> </w:t>
            </w:r>
            <w:r w:rsidR="00DE35C1">
              <w:rPr>
                <w:rFonts w:ascii="Arial" w:hAnsi="Arial"/>
                <w:sz w:val="21"/>
                <w:szCs w:val="21"/>
              </w:rPr>
              <w:t xml:space="preserve">for most customers </w:t>
            </w:r>
            <w:r>
              <w:rPr>
                <w:rFonts w:ascii="Arial" w:hAnsi="Arial"/>
                <w:sz w:val="21"/>
                <w:szCs w:val="21"/>
              </w:rPr>
              <w:t>on Oct. 1</w:t>
            </w:r>
            <w:r w:rsidR="00F20A9C">
              <w:rPr>
                <w:rFonts w:ascii="Arial" w:hAnsi="Arial"/>
                <w:sz w:val="21"/>
                <w:szCs w:val="21"/>
              </w:rPr>
              <w:t>.</w:t>
            </w:r>
          </w:p>
          <w:p w:rsidR="00F20A9C" w:rsidRDefault="00F20A9C" w:rsidP="00DE35C1">
            <w:pPr>
              <w:spacing w:after="120" w:line="360" w:lineRule="auto"/>
              <w:rPr>
                <w:rFonts w:ascii="Arial" w:hAnsi="Arial"/>
                <w:sz w:val="21"/>
                <w:szCs w:val="21"/>
              </w:rPr>
            </w:pPr>
            <w:r>
              <w:rPr>
                <w:rFonts w:ascii="Arial" w:hAnsi="Arial"/>
                <w:sz w:val="21"/>
                <w:szCs w:val="21"/>
              </w:rPr>
              <w:t xml:space="preserve">Customers </w:t>
            </w:r>
            <w:r w:rsidR="003D544C">
              <w:rPr>
                <w:rFonts w:ascii="Arial" w:hAnsi="Arial"/>
                <w:sz w:val="21"/>
                <w:szCs w:val="21"/>
              </w:rPr>
              <w:t xml:space="preserve">who are notified that they are </w:t>
            </w:r>
            <w:r>
              <w:rPr>
                <w:rFonts w:ascii="Arial" w:hAnsi="Arial"/>
                <w:sz w:val="21"/>
                <w:szCs w:val="21"/>
              </w:rPr>
              <w:t xml:space="preserve">scheduled for disconnection after that date can avoid </w:t>
            </w:r>
            <w:r w:rsidR="00B94B35">
              <w:rPr>
                <w:rFonts w:ascii="Arial" w:hAnsi="Arial"/>
                <w:sz w:val="21"/>
                <w:szCs w:val="21"/>
              </w:rPr>
              <w:t>loss of service</w:t>
            </w:r>
            <w:r>
              <w:rPr>
                <w:rFonts w:ascii="Arial" w:hAnsi="Arial"/>
                <w:sz w:val="21"/>
                <w:szCs w:val="21"/>
              </w:rPr>
              <w:t xml:space="preserve"> by signing up for the COVID Payment Plan, or by </w:t>
            </w:r>
            <w:r w:rsidR="00DE35C1">
              <w:rPr>
                <w:rFonts w:ascii="Arial" w:hAnsi="Arial"/>
                <w:sz w:val="21"/>
                <w:szCs w:val="21"/>
              </w:rPr>
              <w:t>qualifying</w:t>
            </w:r>
            <w:r w:rsidR="008B5CA4">
              <w:rPr>
                <w:rFonts w:ascii="Arial" w:hAnsi="Arial"/>
                <w:sz w:val="21"/>
                <w:szCs w:val="21"/>
              </w:rPr>
              <w:t xml:space="preserve"> for</w:t>
            </w:r>
            <w:r w:rsidR="00DE35C1">
              <w:rPr>
                <w:rFonts w:ascii="Arial" w:hAnsi="Arial"/>
                <w:sz w:val="21"/>
                <w:szCs w:val="21"/>
              </w:rPr>
              <w:t xml:space="preserve"> </w:t>
            </w:r>
            <w:r w:rsidR="008B5CA4">
              <w:rPr>
                <w:rFonts w:ascii="Arial" w:hAnsi="Arial"/>
                <w:sz w:val="21"/>
                <w:szCs w:val="21"/>
              </w:rPr>
              <w:t xml:space="preserve">hardship </w:t>
            </w:r>
            <w:r w:rsidR="00DE35C1">
              <w:rPr>
                <w:rFonts w:ascii="Arial" w:hAnsi="Arial"/>
                <w:sz w:val="21"/>
                <w:szCs w:val="21"/>
              </w:rPr>
              <w:t>status based on their income or medical situation</w:t>
            </w:r>
            <w:r w:rsidR="008B5CA4">
              <w:rPr>
                <w:rFonts w:ascii="Arial" w:hAnsi="Arial"/>
                <w:sz w:val="21"/>
                <w:szCs w:val="21"/>
              </w:rPr>
              <w:t>.</w:t>
            </w:r>
            <w:r w:rsidR="00DE35C1">
              <w:rPr>
                <w:rFonts w:ascii="Arial" w:hAnsi="Arial"/>
                <w:sz w:val="21"/>
                <w:szCs w:val="21"/>
              </w:rPr>
              <w:t xml:space="preserve"> C</w:t>
            </w:r>
            <w:r>
              <w:rPr>
                <w:rFonts w:ascii="Arial" w:hAnsi="Arial"/>
                <w:sz w:val="21"/>
                <w:szCs w:val="21"/>
              </w:rPr>
              <w:t>ustomers</w:t>
            </w:r>
            <w:r w:rsidR="00DE35C1">
              <w:rPr>
                <w:rFonts w:ascii="Arial" w:hAnsi="Arial"/>
                <w:sz w:val="21"/>
                <w:szCs w:val="21"/>
              </w:rPr>
              <w:t xml:space="preserve"> who obtain hardship status</w:t>
            </w:r>
            <w:r>
              <w:rPr>
                <w:rFonts w:ascii="Arial" w:hAnsi="Arial"/>
                <w:sz w:val="21"/>
                <w:szCs w:val="21"/>
              </w:rPr>
              <w:t xml:space="preserve"> will continue to be protected from service disconnection </w:t>
            </w:r>
            <w:r w:rsidR="008B5CA4">
              <w:rPr>
                <w:rFonts w:ascii="Arial" w:hAnsi="Arial"/>
                <w:sz w:val="21"/>
                <w:szCs w:val="21"/>
              </w:rPr>
              <w:t xml:space="preserve">until Oct. 31, and then will be </w:t>
            </w:r>
            <w:r w:rsidR="00DE35C1">
              <w:rPr>
                <w:rFonts w:ascii="Arial" w:hAnsi="Arial"/>
                <w:sz w:val="21"/>
                <w:szCs w:val="21"/>
              </w:rPr>
              <w:t>covered by winter service protection from</w:t>
            </w:r>
            <w:r w:rsidR="008B5CA4">
              <w:rPr>
                <w:rFonts w:ascii="Arial" w:hAnsi="Arial"/>
                <w:sz w:val="21"/>
                <w:szCs w:val="21"/>
              </w:rPr>
              <w:t xml:space="preserve"> </w:t>
            </w:r>
            <w:r>
              <w:rPr>
                <w:rFonts w:ascii="Arial" w:hAnsi="Arial"/>
                <w:sz w:val="21"/>
                <w:szCs w:val="21"/>
              </w:rPr>
              <w:t>Nov. 1 to May 1.</w:t>
            </w:r>
          </w:p>
          <w:p w:rsidR="00F20A9C" w:rsidRPr="00F20A9C" w:rsidRDefault="001F7AF8" w:rsidP="00835D9A">
            <w:pPr>
              <w:spacing w:after="120" w:line="360" w:lineRule="auto"/>
              <w:rPr>
                <w:rFonts w:ascii="Arial" w:hAnsi="Arial"/>
                <w:b/>
                <w:sz w:val="21"/>
                <w:szCs w:val="21"/>
              </w:rPr>
            </w:pPr>
            <w:r w:rsidRPr="00C41AC5">
              <w:rPr>
                <w:rFonts w:ascii="Arial" w:hAnsi="Arial"/>
                <w:b/>
                <w:sz w:val="21"/>
                <w:szCs w:val="21"/>
              </w:rPr>
              <w:lastRenderedPageBreak/>
              <w:t>Assistance</w:t>
            </w:r>
            <w:r w:rsidR="008B5CA4" w:rsidRPr="00C41AC5">
              <w:rPr>
                <w:rFonts w:ascii="Arial" w:hAnsi="Arial"/>
                <w:b/>
                <w:sz w:val="21"/>
                <w:szCs w:val="21"/>
              </w:rPr>
              <w:t xml:space="preserve"> for Income-Eligible Customers</w:t>
            </w:r>
          </w:p>
          <w:p w:rsidR="00F20A9C" w:rsidRDefault="00F20A9C" w:rsidP="00835D9A">
            <w:pPr>
              <w:spacing w:after="120" w:line="360" w:lineRule="auto"/>
              <w:rPr>
                <w:rFonts w:ascii="Arial" w:hAnsi="Arial"/>
                <w:sz w:val="21"/>
                <w:szCs w:val="21"/>
              </w:rPr>
            </w:pPr>
            <w:r>
              <w:rPr>
                <w:rFonts w:ascii="Arial" w:hAnsi="Arial"/>
                <w:sz w:val="21"/>
                <w:szCs w:val="21"/>
              </w:rPr>
              <w:t xml:space="preserve">Customers who are struggling to pay their electric or gas bills may qualify for income-based </w:t>
            </w:r>
            <w:r w:rsidR="008B5CA4">
              <w:rPr>
                <w:rFonts w:ascii="Arial" w:hAnsi="Arial"/>
                <w:sz w:val="21"/>
                <w:szCs w:val="21"/>
              </w:rPr>
              <w:t>hardship assistance</w:t>
            </w:r>
            <w:r>
              <w:rPr>
                <w:rFonts w:ascii="Arial" w:hAnsi="Arial"/>
                <w:sz w:val="21"/>
                <w:szCs w:val="21"/>
              </w:rPr>
              <w:t xml:space="preserve">. To apply, they should first call 211 to find their </w:t>
            </w:r>
            <w:hyperlink r:id="rId17" w:history="1">
              <w:r w:rsidRPr="00F20A9C">
                <w:rPr>
                  <w:rStyle w:val="Hyperlink"/>
                  <w:rFonts w:ascii="Arial" w:hAnsi="Arial"/>
                  <w:sz w:val="21"/>
                  <w:szCs w:val="21"/>
                </w:rPr>
                <w:t>Community Action Agency</w:t>
              </w:r>
            </w:hyperlink>
            <w:r>
              <w:rPr>
                <w:rFonts w:ascii="Arial" w:hAnsi="Arial"/>
                <w:sz w:val="21"/>
                <w:szCs w:val="21"/>
              </w:rPr>
              <w:t xml:space="preserve"> to determine if they qualify for the </w:t>
            </w:r>
            <w:hyperlink r:id="rId18" w:history="1">
              <w:r w:rsidRPr="00F20A9C">
                <w:rPr>
                  <w:rStyle w:val="Hyperlink"/>
                  <w:rFonts w:ascii="Arial" w:hAnsi="Arial"/>
                  <w:sz w:val="21"/>
                  <w:szCs w:val="21"/>
                </w:rPr>
                <w:t>Connecticut Energy Assistance Program</w:t>
              </w:r>
            </w:hyperlink>
            <w:r>
              <w:rPr>
                <w:rFonts w:ascii="Arial" w:hAnsi="Arial"/>
                <w:sz w:val="21"/>
                <w:szCs w:val="21"/>
              </w:rPr>
              <w:t>, then contact their electric or gas company to establish winter service protection and enroll in a payment plan.</w:t>
            </w:r>
          </w:p>
          <w:p w:rsidR="00F20A9C" w:rsidRDefault="00F20A9C" w:rsidP="00835D9A">
            <w:pPr>
              <w:spacing w:after="120" w:line="360" w:lineRule="auto"/>
              <w:rPr>
                <w:rFonts w:ascii="Arial" w:hAnsi="Arial"/>
                <w:sz w:val="21"/>
                <w:szCs w:val="21"/>
              </w:rPr>
            </w:pPr>
            <w:r>
              <w:rPr>
                <w:rFonts w:ascii="Arial" w:hAnsi="Arial"/>
                <w:sz w:val="21"/>
                <w:szCs w:val="21"/>
              </w:rPr>
              <w:t xml:space="preserve">UI, SCG and CNG offer </w:t>
            </w:r>
            <w:r w:rsidR="00DE35C1">
              <w:rPr>
                <w:rFonts w:ascii="Arial" w:hAnsi="Arial"/>
                <w:sz w:val="21"/>
                <w:szCs w:val="21"/>
              </w:rPr>
              <w:t xml:space="preserve">income-eligible customers </w:t>
            </w:r>
            <w:r>
              <w:rPr>
                <w:rFonts w:ascii="Arial" w:hAnsi="Arial"/>
                <w:sz w:val="21"/>
                <w:szCs w:val="21"/>
              </w:rPr>
              <w:t xml:space="preserve">payment plans and forgiveness programs that can be combined with </w:t>
            </w:r>
            <w:r w:rsidR="00C05A16">
              <w:rPr>
                <w:rFonts w:ascii="Arial" w:hAnsi="Arial"/>
                <w:sz w:val="21"/>
                <w:szCs w:val="21"/>
              </w:rPr>
              <w:t xml:space="preserve">Connecticut </w:t>
            </w:r>
            <w:r>
              <w:rPr>
                <w:rFonts w:ascii="Arial" w:hAnsi="Arial"/>
                <w:sz w:val="21"/>
                <w:szCs w:val="21"/>
              </w:rPr>
              <w:t>Energy Assistance dollars to help reduce bills and pay down balances.</w:t>
            </w:r>
          </w:p>
          <w:p w:rsidR="00F20A9C" w:rsidRPr="00C41AC5" w:rsidRDefault="00F20A9C" w:rsidP="00835D9A">
            <w:pPr>
              <w:spacing w:after="120" w:line="360" w:lineRule="auto"/>
              <w:rPr>
                <w:rFonts w:ascii="Arial" w:hAnsi="Arial"/>
                <w:sz w:val="21"/>
                <w:szCs w:val="21"/>
              </w:rPr>
            </w:pPr>
            <w:r>
              <w:rPr>
                <w:rFonts w:ascii="Arial" w:hAnsi="Arial"/>
                <w:sz w:val="21"/>
                <w:szCs w:val="21"/>
              </w:rPr>
              <w:t xml:space="preserve">Customers who are in financial crisis but do not </w:t>
            </w:r>
            <w:r w:rsidR="00DE35C1">
              <w:rPr>
                <w:rFonts w:ascii="Arial" w:hAnsi="Arial"/>
                <w:sz w:val="21"/>
                <w:szCs w:val="21"/>
              </w:rPr>
              <w:t>meet the income eligibility guidelines</w:t>
            </w:r>
            <w:r>
              <w:rPr>
                <w:rFonts w:ascii="Arial" w:hAnsi="Arial"/>
                <w:sz w:val="21"/>
                <w:szCs w:val="21"/>
              </w:rPr>
              <w:t xml:space="preserve"> can seek emergency energy assistance through </w:t>
            </w:r>
            <w:hyperlink r:id="rId19" w:history="1">
              <w:r w:rsidRPr="00F20A9C">
                <w:rPr>
                  <w:rStyle w:val="Hyperlink"/>
                  <w:rFonts w:ascii="Arial" w:hAnsi="Arial"/>
                  <w:sz w:val="21"/>
                  <w:szCs w:val="21"/>
                </w:rPr>
                <w:t>Operation Fuel</w:t>
              </w:r>
            </w:hyperlink>
            <w:r w:rsidR="001F7AF8" w:rsidRPr="00C41AC5">
              <w:rPr>
                <w:rFonts w:ascii="Arial" w:hAnsi="Arial"/>
                <w:sz w:val="21"/>
                <w:szCs w:val="21"/>
              </w:rPr>
              <w:t>, which is supported by utility customers through on-bill or direct contributions.</w:t>
            </w:r>
          </w:p>
          <w:p w:rsidR="008B5CA4" w:rsidRPr="00F20A9C" w:rsidRDefault="001F7AF8" w:rsidP="008B5CA4">
            <w:pPr>
              <w:spacing w:after="120" w:line="360" w:lineRule="auto"/>
              <w:rPr>
                <w:rFonts w:ascii="Arial" w:hAnsi="Arial"/>
                <w:b/>
                <w:sz w:val="21"/>
                <w:szCs w:val="21"/>
              </w:rPr>
            </w:pPr>
            <w:r w:rsidRPr="00C41AC5">
              <w:rPr>
                <w:rFonts w:ascii="Arial" w:hAnsi="Arial"/>
                <w:b/>
                <w:sz w:val="21"/>
                <w:szCs w:val="21"/>
              </w:rPr>
              <w:t>Assistance</w:t>
            </w:r>
            <w:r w:rsidR="008B5CA4" w:rsidRPr="00C41AC5">
              <w:rPr>
                <w:rFonts w:ascii="Arial" w:hAnsi="Arial"/>
                <w:b/>
                <w:sz w:val="21"/>
                <w:szCs w:val="21"/>
              </w:rPr>
              <w:t xml:space="preserve"> for Medically Eligible Customers</w:t>
            </w:r>
          </w:p>
          <w:p w:rsidR="00F20A9C" w:rsidRDefault="00F20A9C" w:rsidP="00F20A9C">
            <w:pPr>
              <w:spacing w:after="120" w:line="360" w:lineRule="auto"/>
              <w:rPr>
                <w:rFonts w:ascii="Arial" w:hAnsi="Arial"/>
                <w:sz w:val="21"/>
                <w:szCs w:val="21"/>
              </w:rPr>
            </w:pPr>
            <w:r>
              <w:rPr>
                <w:rFonts w:ascii="Arial" w:hAnsi="Arial"/>
                <w:sz w:val="21"/>
                <w:szCs w:val="21"/>
              </w:rPr>
              <w:t xml:space="preserve">Customers with documented medical hardships may also qualify for service protection during the Nov. 1 to May 1 period. A physician must certify that the customer or a household member is seriously ill or has a life-threatening condition. To </w:t>
            </w:r>
            <w:r w:rsidR="00C05A16">
              <w:rPr>
                <w:rFonts w:ascii="Arial" w:hAnsi="Arial"/>
                <w:sz w:val="21"/>
                <w:szCs w:val="21"/>
              </w:rPr>
              <w:t>establish</w:t>
            </w:r>
            <w:r>
              <w:rPr>
                <w:rFonts w:ascii="Arial" w:hAnsi="Arial"/>
                <w:sz w:val="21"/>
                <w:szCs w:val="21"/>
              </w:rPr>
              <w:t xml:space="preserve"> a me</w:t>
            </w:r>
            <w:r w:rsidR="00DE35C1">
              <w:rPr>
                <w:rFonts w:ascii="Arial" w:hAnsi="Arial"/>
                <w:sz w:val="21"/>
                <w:szCs w:val="21"/>
              </w:rPr>
              <w:t>dical hardship, call</w:t>
            </w:r>
            <w:r w:rsidR="004A783B">
              <w:rPr>
                <w:rFonts w:ascii="Arial" w:hAnsi="Arial"/>
                <w:sz w:val="21"/>
                <w:szCs w:val="21"/>
              </w:rPr>
              <w:t xml:space="preserve"> UI, SCG or CNG</w:t>
            </w:r>
            <w:r w:rsidR="00DE35C1">
              <w:rPr>
                <w:rFonts w:ascii="Arial" w:hAnsi="Arial"/>
                <w:sz w:val="21"/>
                <w:szCs w:val="21"/>
              </w:rPr>
              <w:t>.</w:t>
            </w:r>
          </w:p>
          <w:p w:rsidR="00F20A9C" w:rsidRPr="00F20A9C" w:rsidRDefault="00F20A9C" w:rsidP="00835D9A">
            <w:pPr>
              <w:spacing w:after="120" w:line="360" w:lineRule="auto"/>
              <w:rPr>
                <w:rFonts w:ascii="Arial" w:hAnsi="Arial"/>
                <w:b/>
                <w:sz w:val="21"/>
                <w:szCs w:val="21"/>
              </w:rPr>
            </w:pPr>
            <w:r w:rsidRPr="00F20A9C">
              <w:rPr>
                <w:rFonts w:ascii="Arial" w:hAnsi="Arial"/>
                <w:b/>
                <w:sz w:val="21"/>
                <w:szCs w:val="21"/>
              </w:rPr>
              <w:t>Other Programs</w:t>
            </w:r>
          </w:p>
          <w:p w:rsidR="007E08C1" w:rsidRDefault="00C05A16" w:rsidP="00835D9A">
            <w:pPr>
              <w:spacing w:after="120" w:line="360" w:lineRule="auto"/>
              <w:rPr>
                <w:rFonts w:ascii="Arial" w:hAnsi="Arial"/>
                <w:sz w:val="21"/>
                <w:szCs w:val="21"/>
              </w:rPr>
            </w:pPr>
            <w:r>
              <w:rPr>
                <w:rFonts w:ascii="Arial" w:hAnsi="Arial"/>
                <w:sz w:val="21"/>
                <w:szCs w:val="21"/>
              </w:rPr>
              <w:t>Energy efficiency is one of the best ways to reduce energy use and lower energy bills. For a limited time, customers can sign up for free virtual efficiency assessment</w:t>
            </w:r>
            <w:r w:rsidR="008D1186">
              <w:rPr>
                <w:rFonts w:ascii="Arial" w:hAnsi="Arial"/>
                <w:sz w:val="21"/>
                <w:szCs w:val="21"/>
              </w:rPr>
              <w:t>s</w:t>
            </w:r>
            <w:r w:rsidR="00C41AC5">
              <w:rPr>
                <w:rFonts w:ascii="Arial" w:hAnsi="Arial"/>
                <w:sz w:val="21"/>
                <w:szCs w:val="21"/>
              </w:rPr>
              <w:t>. C</w:t>
            </w:r>
            <w:r>
              <w:rPr>
                <w:rFonts w:ascii="Arial" w:hAnsi="Arial"/>
                <w:sz w:val="21"/>
                <w:szCs w:val="21"/>
              </w:rPr>
              <w:t>onducted remotely</w:t>
            </w:r>
            <w:r w:rsidR="00C41AC5">
              <w:rPr>
                <w:rFonts w:ascii="Arial" w:hAnsi="Arial"/>
                <w:sz w:val="21"/>
                <w:szCs w:val="21"/>
              </w:rPr>
              <w:t>, this is</w:t>
            </w:r>
            <w:r>
              <w:rPr>
                <w:rFonts w:ascii="Arial" w:hAnsi="Arial"/>
                <w:sz w:val="21"/>
                <w:szCs w:val="21"/>
              </w:rPr>
              <w:t xml:space="preserve"> a safe and convenient first step to making energy efficiency improvements.</w:t>
            </w:r>
          </w:p>
          <w:p w:rsidR="00C05A16" w:rsidRDefault="00C05A16" w:rsidP="00835D9A">
            <w:pPr>
              <w:spacing w:after="120" w:line="360" w:lineRule="auto"/>
              <w:rPr>
                <w:rFonts w:ascii="Arial" w:hAnsi="Arial"/>
                <w:sz w:val="21"/>
                <w:szCs w:val="21"/>
              </w:rPr>
            </w:pPr>
            <w:r>
              <w:rPr>
                <w:rFonts w:ascii="Arial" w:hAnsi="Arial"/>
                <w:sz w:val="21"/>
                <w:szCs w:val="21"/>
              </w:rPr>
              <w:t>This virtual pre-assessment can be followed with an in-person Home Energy Solutions</w:t>
            </w:r>
            <w:r w:rsidR="007E08C1">
              <w:rPr>
                <w:rFonts w:ascii="Arial" w:hAnsi="Arial"/>
                <w:sz w:val="21"/>
                <w:szCs w:val="21"/>
              </w:rPr>
              <w:t xml:space="preserve"> energy audit, when that program resumes. For a $75 co-payment (waved for income-qualifying customers), a typical Connecticut home </w:t>
            </w:r>
            <w:r w:rsidR="007E08C1" w:rsidRPr="007E08C1">
              <w:rPr>
                <w:rFonts w:ascii="Arial" w:hAnsi="Arial"/>
                <w:sz w:val="21"/>
                <w:szCs w:val="21"/>
              </w:rPr>
              <w:t>receives about $1,000 in services and realizes $200 in savings on their annual energy bills.</w:t>
            </w:r>
          </w:p>
          <w:p w:rsidR="00F20A9C" w:rsidRDefault="0036547D" w:rsidP="00835D9A">
            <w:pPr>
              <w:spacing w:after="120" w:line="360" w:lineRule="auto"/>
              <w:rPr>
                <w:rFonts w:ascii="Arial" w:hAnsi="Arial"/>
                <w:sz w:val="21"/>
                <w:szCs w:val="21"/>
              </w:rPr>
            </w:pPr>
            <w:r>
              <w:rPr>
                <w:rFonts w:ascii="Arial" w:hAnsi="Arial"/>
                <w:sz w:val="21"/>
                <w:szCs w:val="21"/>
              </w:rPr>
              <w:t xml:space="preserve">The companies </w:t>
            </w:r>
            <w:r w:rsidR="007E08C1">
              <w:rPr>
                <w:rFonts w:ascii="Arial" w:hAnsi="Arial"/>
                <w:sz w:val="21"/>
                <w:szCs w:val="21"/>
              </w:rPr>
              <w:t xml:space="preserve">also offer Budget Billing programs that can help customers manage their </w:t>
            </w:r>
            <w:r w:rsidR="001F7AF8">
              <w:rPr>
                <w:rFonts w:ascii="Arial" w:hAnsi="Arial"/>
                <w:sz w:val="21"/>
                <w:szCs w:val="21"/>
              </w:rPr>
              <w:t>monthly bills</w:t>
            </w:r>
            <w:r w:rsidR="007E08C1">
              <w:rPr>
                <w:rFonts w:ascii="Arial" w:hAnsi="Arial"/>
                <w:sz w:val="21"/>
                <w:szCs w:val="21"/>
              </w:rPr>
              <w:t xml:space="preserve"> by averaging out their projected energy costs over a 12-month period, resulting in a predictable monthly bill. </w:t>
            </w:r>
          </w:p>
          <w:p w:rsidR="0036547D" w:rsidRDefault="0036547D" w:rsidP="00835D9A">
            <w:pPr>
              <w:spacing w:after="120" w:line="360" w:lineRule="auto"/>
              <w:rPr>
                <w:rFonts w:ascii="Arial" w:hAnsi="Arial"/>
                <w:sz w:val="21"/>
                <w:szCs w:val="21"/>
              </w:rPr>
            </w:pPr>
            <w:r>
              <w:rPr>
                <w:rFonts w:ascii="Arial" w:hAnsi="Arial"/>
                <w:sz w:val="21"/>
                <w:szCs w:val="21"/>
              </w:rPr>
              <w:t xml:space="preserve">UI, SCG and CNG are subsidiaries of </w:t>
            </w:r>
            <w:hyperlink r:id="rId20" w:history="1">
              <w:r w:rsidRPr="00F20A9C">
                <w:rPr>
                  <w:rStyle w:val="Hyperlink"/>
                  <w:rFonts w:ascii="Arial" w:hAnsi="Arial"/>
                  <w:sz w:val="21"/>
                  <w:szCs w:val="21"/>
                </w:rPr>
                <w:t>AVANGRID, Inc.</w:t>
              </w:r>
            </w:hyperlink>
            <w:r>
              <w:rPr>
                <w:rFonts w:ascii="Arial" w:hAnsi="Arial"/>
                <w:sz w:val="21"/>
                <w:szCs w:val="21"/>
              </w:rPr>
              <w:t xml:space="preserve"> (NYSE: AGR).</w:t>
            </w:r>
          </w:p>
          <w:p w:rsidR="007E08C1" w:rsidRDefault="007E08C1" w:rsidP="007E08C1">
            <w:pPr>
              <w:spacing w:after="120" w:line="360" w:lineRule="auto"/>
              <w:jc w:val="center"/>
              <w:rPr>
                <w:rFonts w:ascii="Arial" w:hAnsi="Arial"/>
                <w:sz w:val="21"/>
                <w:szCs w:val="21"/>
              </w:rPr>
            </w:pPr>
            <w:r>
              <w:rPr>
                <w:rFonts w:ascii="Arial" w:hAnsi="Arial"/>
                <w:sz w:val="21"/>
                <w:szCs w:val="21"/>
              </w:rPr>
              <w:t>#  #  #</w:t>
            </w:r>
          </w:p>
          <w:p w:rsidR="007E08C1" w:rsidRPr="007E08C1" w:rsidRDefault="007E08C1" w:rsidP="007E08C1">
            <w:pPr>
              <w:spacing w:after="120" w:line="360" w:lineRule="auto"/>
              <w:rPr>
                <w:rFonts w:ascii="Arial" w:hAnsi="Arial"/>
                <w:i/>
                <w:sz w:val="21"/>
                <w:szCs w:val="21"/>
              </w:rPr>
            </w:pPr>
            <w:r w:rsidRPr="007E08C1">
              <w:rPr>
                <w:rFonts w:ascii="Arial" w:hAnsi="Arial"/>
                <w:i/>
                <w:sz w:val="21"/>
                <w:szCs w:val="21"/>
              </w:rPr>
              <w:t xml:space="preserve">This news release </w:t>
            </w:r>
            <w:r w:rsidR="001F7AF8">
              <w:rPr>
                <w:rFonts w:ascii="Arial" w:hAnsi="Arial"/>
                <w:i/>
                <w:sz w:val="21"/>
                <w:szCs w:val="21"/>
              </w:rPr>
              <w:t>was</w:t>
            </w:r>
            <w:r w:rsidRPr="007E08C1">
              <w:rPr>
                <w:rFonts w:ascii="Arial" w:hAnsi="Arial"/>
                <w:i/>
                <w:sz w:val="21"/>
                <w:szCs w:val="21"/>
              </w:rPr>
              <w:t xml:space="preserve"> issued pursuant to Connecticut Public Utilities Regulatory Authority Docket No. 20-03-15, Motion No. 9, </w:t>
            </w:r>
            <w:proofErr w:type="gramStart"/>
            <w:r w:rsidRPr="007E08C1">
              <w:rPr>
                <w:rFonts w:ascii="Arial" w:hAnsi="Arial"/>
                <w:i/>
                <w:sz w:val="21"/>
                <w:szCs w:val="21"/>
              </w:rPr>
              <w:t>Order</w:t>
            </w:r>
            <w:proofErr w:type="gramEnd"/>
            <w:r w:rsidRPr="007E08C1">
              <w:rPr>
                <w:rFonts w:ascii="Arial" w:hAnsi="Arial"/>
                <w:i/>
                <w:sz w:val="21"/>
                <w:szCs w:val="21"/>
              </w:rPr>
              <w:t xml:space="preserve"> No. 21.</w:t>
            </w:r>
          </w:p>
          <w:p w:rsidR="00835D9A" w:rsidRDefault="00835D9A" w:rsidP="00835D9A">
            <w:pPr>
              <w:spacing w:after="120" w:line="360" w:lineRule="auto"/>
              <w:rPr>
                <w:rFonts w:ascii="Arial" w:hAnsi="Arial"/>
                <w:sz w:val="21"/>
                <w:szCs w:val="21"/>
              </w:rPr>
            </w:pPr>
            <w:r w:rsidRPr="003C6475">
              <w:rPr>
                <w:rFonts w:ascii="Arial" w:hAnsi="Arial"/>
                <w:sz w:val="21"/>
                <w:szCs w:val="21"/>
              </w:rPr>
              <w:t xml:space="preserve"> </w:t>
            </w:r>
          </w:p>
          <w:p w:rsidR="001D62F6" w:rsidRDefault="001D62F6" w:rsidP="00E42313">
            <w:pPr>
              <w:spacing w:line="360" w:lineRule="auto"/>
              <w:rPr>
                <w:rFonts w:ascii="Arial" w:hAnsi="Arial"/>
                <w:sz w:val="20"/>
              </w:rPr>
            </w:pPr>
          </w:p>
          <w:tbl>
            <w:tblPr>
              <w:tblStyle w:val="TableGrid"/>
              <w:tblW w:w="0" w:type="auto"/>
              <w:tblLook w:val="04A0" w:firstRow="1" w:lastRow="0" w:firstColumn="1" w:lastColumn="0" w:noHBand="0" w:noVBand="1"/>
            </w:tblPr>
            <w:tblGrid>
              <w:gridCol w:w="8517"/>
            </w:tblGrid>
            <w:tr w:rsidR="001D62F6" w:rsidTr="19BA1CF9">
              <w:tc>
                <w:tcPr>
                  <w:tcW w:w="8517" w:type="dxa"/>
                  <w:tcBorders>
                    <w:top w:val="single" w:sz="4" w:space="0" w:color="auto"/>
                    <w:left w:val="nil"/>
                    <w:bottom w:val="single" w:sz="4" w:space="0" w:color="auto"/>
                    <w:right w:val="nil"/>
                  </w:tcBorders>
                </w:tcPr>
                <w:p w:rsidR="00C227DA" w:rsidRPr="001D62F6" w:rsidRDefault="00C227DA" w:rsidP="19BA1CF9">
                  <w:pPr>
                    <w:pStyle w:val="Default"/>
                    <w:jc w:val="center"/>
                    <w:rPr>
                      <w:rFonts w:ascii="Arial" w:eastAsia="Arial" w:hAnsi="Arial" w:cs="Arial"/>
                      <w:sz w:val="18"/>
                      <w:szCs w:val="18"/>
                    </w:rPr>
                  </w:pPr>
                </w:p>
                <w:p w:rsidR="00C227DA" w:rsidRPr="009271BD" w:rsidRDefault="517C2C94" w:rsidP="19BA1CF9">
                  <w:pPr>
                    <w:pStyle w:val="Default"/>
                    <w:ind w:left="-113"/>
                    <w:rPr>
                      <w:rFonts w:ascii="Arial" w:eastAsia="Arial" w:hAnsi="Arial" w:cs="Arial"/>
                      <w:sz w:val="18"/>
                      <w:szCs w:val="18"/>
                    </w:rPr>
                  </w:pPr>
                  <w:r w:rsidRPr="19BA1CF9">
                    <w:rPr>
                      <w:rFonts w:ascii="Arial" w:eastAsia="Arial" w:hAnsi="Arial" w:cs="Arial"/>
                      <w:b/>
                      <w:bCs/>
                      <w:sz w:val="18"/>
                      <w:szCs w:val="18"/>
                    </w:rPr>
                    <w:t>About UI:</w:t>
                  </w:r>
                  <w:r w:rsidRPr="19BA1CF9">
                    <w:rPr>
                      <w:rFonts w:ascii="Arial" w:eastAsia="Arial" w:hAnsi="Arial" w:cs="Arial"/>
                      <w:sz w:val="18"/>
                      <w:szCs w:val="18"/>
                    </w:rPr>
                    <w:t xml:space="preserve"> The United Illuminating Company (UI) is a subsidiary of AVANGRID, Inc. Established in </w:t>
                  </w:r>
                  <w:proofErr w:type="gramStart"/>
                  <w:r w:rsidRPr="19BA1CF9">
                    <w:rPr>
                      <w:rFonts w:ascii="Arial" w:eastAsia="Arial" w:hAnsi="Arial" w:cs="Arial"/>
                      <w:sz w:val="18"/>
                      <w:szCs w:val="18"/>
                    </w:rPr>
                    <w:t>1899,</w:t>
                  </w:r>
                  <w:proofErr w:type="gramEnd"/>
                  <w:r w:rsidRPr="19BA1CF9">
                    <w:rPr>
                      <w:rFonts w:ascii="Arial" w:eastAsia="Arial" w:hAnsi="Arial" w:cs="Arial"/>
                      <w:sz w:val="18"/>
                      <w:szCs w:val="18"/>
                    </w:rPr>
                    <w:t xml:space="preserve"> UI operates approximately 3,500 miles of electric distribution lines and 139 miles of transmission lines. It serves approximately 33</w:t>
                  </w:r>
                  <w:r w:rsidR="46D1C1E8" w:rsidRPr="19BA1CF9">
                    <w:rPr>
                      <w:rFonts w:ascii="Arial" w:eastAsia="Arial" w:hAnsi="Arial" w:cs="Arial"/>
                      <w:sz w:val="18"/>
                      <w:szCs w:val="18"/>
                    </w:rPr>
                    <w:t>9</w:t>
                  </w:r>
                  <w:r w:rsidRPr="19BA1CF9">
                    <w:rPr>
                      <w:rFonts w:ascii="Arial" w:eastAsia="Arial" w:hAnsi="Arial" w:cs="Arial"/>
                      <w:sz w:val="18"/>
                      <w:szCs w:val="18"/>
                    </w:rPr>
                    <w:t xml:space="preserve">,000 customers in the greater New Haven and Bridgeport areas of Connecticut. UI received the Edison Electric Institute’s Emergency Recovery Award recognizing the company’s response to the May 2018 storms that impacted its service territory. For more information, visit </w:t>
                  </w:r>
                  <w:hyperlink r:id="rId21">
                    <w:r w:rsidRPr="19BA1CF9">
                      <w:rPr>
                        <w:rStyle w:val="Hyperlink"/>
                        <w:rFonts w:ascii="Arial" w:eastAsia="Arial" w:hAnsi="Arial" w:cs="Arial"/>
                        <w:sz w:val="18"/>
                        <w:szCs w:val="18"/>
                      </w:rPr>
                      <w:t>www.uinet.com</w:t>
                    </w:r>
                  </w:hyperlink>
                  <w:r w:rsidRPr="19BA1CF9">
                    <w:rPr>
                      <w:rFonts w:ascii="Arial" w:eastAsia="Arial" w:hAnsi="Arial" w:cs="Arial"/>
                      <w:sz w:val="18"/>
                      <w:szCs w:val="18"/>
                    </w:rPr>
                    <w:t xml:space="preserve">. </w:t>
                  </w:r>
                </w:p>
                <w:p w:rsidR="00C227DA" w:rsidRPr="009271BD" w:rsidRDefault="00C227DA" w:rsidP="19BA1CF9">
                  <w:pPr>
                    <w:pStyle w:val="Default"/>
                    <w:ind w:left="-113"/>
                    <w:rPr>
                      <w:rFonts w:ascii="Arial" w:eastAsia="Arial" w:hAnsi="Arial" w:cs="Arial"/>
                      <w:sz w:val="18"/>
                      <w:szCs w:val="18"/>
                    </w:rPr>
                  </w:pPr>
                </w:p>
                <w:p w:rsidR="00C227DA" w:rsidRPr="009271BD" w:rsidRDefault="517C2C94" w:rsidP="19BA1CF9">
                  <w:pPr>
                    <w:pStyle w:val="Default"/>
                    <w:ind w:left="-113"/>
                    <w:rPr>
                      <w:rFonts w:ascii="Arial" w:eastAsia="Arial" w:hAnsi="Arial" w:cs="Arial"/>
                      <w:sz w:val="18"/>
                      <w:szCs w:val="18"/>
                    </w:rPr>
                  </w:pPr>
                  <w:r w:rsidRPr="19BA1CF9">
                    <w:rPr>
                      <w:rFonts w:ascii="Arial" w:eastAsia="Arial" w:hAnsi="Arial" w:cs="Arial"/>
                      <w:b/>
                      <w:bCs/>
                      <w:sz w:val="18"/>
                      <w:szCs w:val="18"/>
                    </w:rPr>
                    <w:t xml:space="preserve">About SCG: </w:t>
                  </w:r>
                  <w:r w:rsidRPr="19BA1CF9">
                    <w:rPr>
                      <w:rFonts w:ascii="Arial" w:eastAsia="Arial" w:hAnsi="Arial" w:cs="Arial"/>
                      <w:sz w:val="18"/>
                      <w:szCs w:val="18"/>
                    </w:rPr>
                    <w:t xml:space="preserve">The Southern Connecticut Gas Company (SCG) is a subsidiary of AVANGRID, Inc. Established in </w:t>
                  </w:r>
                  <w:proofErr w:type="gramStart"/>
                  <w:r w:rsidRPr="19BA1CF9">
                    <w:rPr>
                      <w:rFonts w:ascii="Arial" w:eastAsia="Arial" w:hAnsi="Arial" w:cs="Arial"/>
                      <w:sz w:val="18"/>
                      <w:szCs w:val="18"/>
                    </w:rPr>
                    <w:t>1847,</w:t>
                  </w:r>
                  <w:proofErr w:type="gramEnd"/>
                  <w:r w:rsidRPr="19BA1CF9">
                    <w:rPr>
                      <w:rFonts w:ascii="Arial" w:eastAsia="Arial" w:hAnsi="Arial" w:cs="Arial"/>
                      <w:sz w:val="18"/>
                      <w:szCs w:val="18"/>
                    </w:rPr>
                    <w:t xml:space="preserve"> SCG operates approximately 2,500 miles of natural gas distribution pipelines, serving approximately </w:t>
                  </w:r>
                  <w:r w:rsidR="1265CF3B" w:rsidRPr="19BA1CF9">
                    <w:rPr>
                      <w:rFonts w:ascii="Arial" w:eastAsia="Arial" w:hAnsi="Arial" w:cs="Arial"/>
                      <w:sz w:val="18"/>
                      <w:szCs w:val="18"/>
                    </w:rPr>
                    <w:t>203</w:t>
                  </w:r>
                  <w:r w:rsidRPr="19BA1CF9">
                    <w:rPr>
                      <w:rFonts w:ascii="Arial" w:eastAsia="Arial" w:hAnsi="Arial" w:cs="Arial"/>
                      <w:sz w:val="18"/>
                      <w:szCs w:val="18"/>
                    </w:rPr>
                    <w:t xml:space="preserve">,000 customers in the greater New Haven and Bridgeport areas of Connecticut. For more information, visit </w:t>
                  </w:r>
                  <w:hyperlink r:id="rId22">
                    <w:r w:rsidRPr="19BA1CF9">
                      <w:rPr>
                        <w:rStyle w:val="Hyperlink"/>
                        <w:rFonts w:ascii="Arial" w:eastAsia="Arial" w:hAnsi="Arial" w:cs="Arial"/>
                        <w:sz w:val="18"/>
                        <w:szCs w:val="18"/>
                      </w:rPr>
                      <w:t>www.soconngas.com</w:t>
                    </w:r>
                  </w:hyperlink>
                  <w:r w:rsidRPr="19BA1CF9">
                    <w:rPr>
                      <w:rFonts w:ascii="Arial" w:eastAsia="Arial" w:hAnsi="Arial" w:cs="Arial"/>
                      <w:sz w:val="18"/>
                      <w:szCs w:val="18"/>
                    </w:rPr>
                    <w:t>.</w:t>
                  </w:r>
                </w:p>
                <w:p w:rsidR="00C227DA" w:rsidRPr="009271BD" w:rsidRDefault="00C227DA" w:rsidP="19BA1CF9">
                  <w:pPr>
                    <w:pStyle w:val="Default"/>
                    <w:ind w:left="-113"/>
                    <w:rPr>
                      <w:rFonts w:ascii="Arial" w:eastAsia="Arial" w:hAnsi="Arial" w:cs="Arial"/>
                      <w:b/>
                      <w:bCs/>
                      <w:sz w:val="18"/>
                      <w:szCs w:val="18"/>
                    </w:rPr>
                  </w:pPr>
                </w:p>
                <w:p w:rsidR="00C227DA" w:rsidRPr="009271BD" w:rsidRDefault="517C2C94" w:rsidP="19BA1CF9">
                  <w:pPr>
                    <w:pStyle w:val="Default"/>
                    <w:ind w:left="-113"/>
                    <w:rPr>
                      <w:rFonts w:ascii="Arial" w:eastAsia="Arial" w:hAnsi="Arial" w:cs="Arial"/>
                      <w:sz w:val="18"/>
                      <w:szCs w:val="18"/>
                    </w:rPr>
                  </w:pPr>
                  <w:r w:rsidRPr="19BA1CF9">
                    <w:rPr>
                      <w:rFonts w:ascii="Arial" w:eastAsia="Arial" w:hAnsi="Arial" w:cs="Arial"/>
                      <w:b/>
                      <w:bCs/>
                      <w:sz w:val="18"/>
                      <w:szCs w:val="18"/>
                    </w:rPr>
                    <w:t xml:space="preserve">About CNG: </w:t>
                  </w:r>
                  <w:r w:rsidRPr="19BA1CF9">
                    <w:rPr>
                      <w:rFonts w:ascii="Arial" w:eastAsia="Arial" w:hAnsi="Arial" w:cs="Arial"/>
                      <w:sz w:val="18"/>
                      <w:szCs w:val="18"/>
                    </w:rPr>
                    <w:t xml:space="preserve">Connecticut Natural Gas Corporation (CNG) is a subsidiary of AVANGRID, Inc. Established in </w:t>
                  </w:r>
                  <w:proofErr w:type="gramStart"/>
                  <w:r w:rsidRPr="19BA1CF9">
                    <w:rPr>
                      <w:rFonts w:ascii="Arial" w:eastAsia="Arial" w:hAnsi="Arial" w:cs="Arial"/>
                      <w:sz w:val="18"/>
                      <w:szCs w:val="18"/>
                    </w:rPr>
                    <w:t>1848,</w:t>
                  </w:r>
                  <w:proofErr w:type="gramEnd"/>
                  <w:r w:rsidRPr="19BA1CF9">
                    <w:rPr>
                      <w:rFonts w:ascii="Arial" w:eastAsia="Arial" w:hAnsi="Arial" w:cs="Arial"/>
                      <w:sz w:val="18"/>
                      <w:szCs w:val="18"/>
                    </w:rPr>
                    <w:t xml:space="preserve"> CNG operates 2,160 miles of natural gas distribution pipeline, serving approximately 1</w:t>
                  </w:r>
                  <w:r w:rsidR="0890BBF5" w:rsidRPr="19BA1CF9">
                    <w:rPr>
                      <w:rFonts w:ascii="Arial" w:eastAsia="Arial" w:hAnsi="Arial" w:cs="Arial"/>
                      <w:sz w:val="18"/>
                      <w:szCs w:val="18"/>
                    </w:rPr>
                    <w:t>91</w:t>
                  </w:r>
                  <w:r w:rsidRPr="19BA1CF9">
                    <w:rPr>
                      <w:rFonts w:ascii="Arial" w:eastAsia="Arial" w:hAnsi="Arial" w:cs="Arial"/>
                      <w:sz w:val="18"/>
                      <w:szCs w:val="18"/>
                    </w:rPr>
                    <w:t xml:space="preserve">,000 customers across 26 communities in the greater Hartford-New Britain area, and Greenwich, Connecticut. For more information, visit </w:t>
                  </w:r>
                  <w:hyperlink r:id="rId23">
                    <w:r w:rsidRPr="19BA1CF9">
                      <w:rPr>
                        <w:rStyle w:val="Hyperlink"/>
                        <w:rFonts w:ascii="Arial" w:eastAsia="Arial" w:hAnsi="Arial" w:cs="Arial"/>
                        <w:sz w:val="18"/>
                        <w:szCs w:val="18"/>
                      </w:rPr>
                      <w:t>www.cngcorp.com</w:t>
                    </w:r>
                  </w:hyperlink>
                  <w:r w:rsidRPr="19BA1CF9">
                    <w:rPr>
                      <w:rFonts w:ascii="Arial" w:eastAsia="Arial" w:hAnsi="Arial" w:cs="Arial"/>
                      <w:sz w:val="18"/>
                      <w:szCs w:val="18"/>
                    </w:rPr>
                    <w:t xml:space="preserve">.  </w:t>
                  </w:r>
                </w:p>
                <w:p w:rsidR="00D73FA5" w:rsidRPr="009271BD" w:rsidRDefault="00D73FA5" w:rsidP="19BA1CF9">
                  <w:pPr>
                    <w:pStyle w:val="Default"/>
                    <w:ind w:left="-113"/>
                    <w:rPr>
                      <w:rFonts w:ascii="Arial" w:eastAsia="Arial" w:hAnsi="Arial" w:cs="Arial"/>
                      <w:b/>
                      <w:bCs/>
                      <w:sz w:val="18"/>
                      <w:szCs w:val="18"/>
                    </w:rPr>
                  </w:pPr>
                </w:p>
                <w:p w:rsidR="00D73FA5" w:rsidRDefault="00D73FA5" w:rsidP="19BA1CF9">
                  <w:pPr>
                    <w:pStyle w:val="Default"/>
                    <w:ind w:left="-113"/>
                    <w:rPr>
                      <w:rFonts w:ascii="Arial" w:eastAsia="Arial" w:hAnsi="Arial" w:cs="Arial"/>
                      <w:noProof/>
                      <w:sz w:val="18"/>
                      <w:szCs w:val="18"/>
                    </w:rPr>
                  </w:pPr>
                  <w:r w:rsidRPr="19BA1CF9">
                    <w:rPr>
                      <w:rFonts w:ascii="Arial" w:eastAsia="Arial" w:hAnsi="Arial" w:cs="Arial"/>
                      <w:b/>
                      <w:bCs/>
                      <w:sz w:val="18"/>
                      <w:szCs w:val="18"/>
                    </w:rPr>
                    <w:t xml:space="preserve">About AVANGRID: </w:t>
                  </w:r>
                  <w:r w:rsidRPr="19BA1CF9">
                    <w:rPr>
                      <w:rFonts w:ascii="Arial" w:eastAsia="Arial" w:hAnsi="Arial" w:cs="Arial"/>
                      <w:sz w:val="18"/>
                      <w:szCs w:val="18"/>
                    </w:rPr>
                    <w:t>AVANGRID, Inc. (NYSE: AGR) is a leading, sustainable energy company with approximately $3</w:t>
                  </w:r>
                  <w:r w:rsidR="6B586AA5" w:rsidRPr="19BA1CF9">
                    <w:rPr>
                      <w:rFonts w:ascii="Arial" w:eastAsia="Arial" w:hAnsi="Arial" w:cs="Arial"/>
                      <w:sz w:val="18"/>
                      <w:szCs w:val="18"/>
                    </w:rPr>
                    <w:t>5</w:t>
                  </w:r>
                  <w:r w:rsidRPr="19BA1CF9">
                    <w:rPr>
                      <w:rFonts w:ascii="Arial" w:eastAsia="Arial" w:hAnsi="Arial" w:cs="Arial"/>
                      <w:sz w:val="18"/>
                      <w:szCs w:val="18"/>
                    </w:rPr>
                    <w:t xml:space="preserve"> billion in assets and operations in 24 U.S. states. With headquarters in Orange, Connecticut, AVANGRID has two primary lines of business: Avangrid Networks and Avangrid Renewables. Avangrid Networks owns eight electric and natural gas utilities, serving more than 3.3 million customers in New York and New England. Avangrid Renewables owns and operates a portfolio of renewable energy generation facilities across the United States. AVANGRID employs approximately 6,600 people. AVANGRID supports the U.N.’s Sustainable Development Goals and was named among the World’s Most Ethical Companies in 2019 and 2020 by the </w:t>
                  </w:r>
                  <w:proofErr w:type="spellStart"/>
                  <w:r w:rsidRPr="19BA1CF9">
                    <w:rPr>
                      <w:rFonts w:ascii="Arial" w:eastAsia="Arial" w:hAnsi="Arial" w:cs="Arial"/>
                      <w:sz w:val="18"/>
                      <w:szCs w:val="18"/>
                    </w:rPr>
                    <w:t>Ethisphere</w:t>
                  </w:r>
                  <w:proofErr w:type="spellEnd"/>
                  <w:r w:rsidRPr="19BA1CF9">
                    <w:rPr>
                      <w:rFonts w:ascii="Arial" w:eastAsia="Arial" w:hAnsi="Arial" w:cs="Arial"/>
                      <w:sz w:val="18"/>
                      <w:szCs w:val="18"/>
                    </w:rPr>
                    <w:t xml:space="preserve"> Institute. For more information, visit </w:t>
                  </w:r>
                  <w:hyperlink r:id="rId24">
                    <w:r w:rsidRPr="19BA1CF9">
                      <w:rPr>
                        <w:rStyle w:val="Hyperlink"/>
                        <w:rFonts w:ascii="Arial" w:eastAsia="Arial" w:hAnsi="Arial" w:cs="Arial"/>
                        <w:sz w:val="18"/>
                        <w:szCs w:val="18"/>
                      </w:rPr>
                      <w:t>www.avangrid.com</w:t>
                    </w:r>
                  </w:hyperlink>
                  <w:r w:rsidRPr="19BA1CF9">
                    <w:rPr>
                      <w:rFonts w:ascii="Arial" w:eastAsia="Arial" w:hAnsi="Arial" w:cs="Arial"/>
                      <w:sz w:val="18"/>
                      <w:szCs w:val="18"/>
                    </w:rPr>
                    <w:t>.</w:t>
                  </w:r>
                  <w:r w:rsidRPr="19BA1CF9">
                    <w:rPr>
                      <w:rFonts w:ascii="Arial" w:eastAsia="Arial" w:hAnsi="Arial" w:cs="Arial"/>
                      <w:noProof/>
                      <w:sz w:val="18"/>
                      <w:szCs w:val="18"/>
                    </w:rPr>
                    <w:t xml:space="preserve"> </w:t>
                  </w:r>
                </w:p>
                <w:p w:rsidR="3EF09E25" w:rsidRDefault="3EF09E25" w:rsidP="19BA1CF9">
                  <w:pPr>
                    <w:pStyle w:val="Default"/>
                    <w:ind w:left="-113"/>
                    <w:rPr>
                      <w:rFonts w:ascii="Arial" w:eastAsia="Arial" w:hAnsi="Arial" w:cs="Arial"/>
                      <w:noProof/>
                      <w:sz w:val="18"/>
                      <w:szCs w:val="18"/>
                    </w:rPr>
                  </w:pPr>
                </w:p>
                <w:p w:rsidR="003C6475" w:rsidRPr="001D62F6" w:rsidRDefault="00D73FA5" w:rsidP="19BA1CF9">
                  <w:pPr>
                    <w:pStyle w:val="Default"/>
                    <w:ind w:left="-113"/>
                    <w:rPr>
                      <w:rFonts w:ascii="Arial" w:eastAsia="Arial" w:hAnsi="Arial" w:cs="Arial"/>
                      <w:sz w:val="18"/>
                      <w:szCs w:val="18"/>
                    </w:rPr>
                  </w:pPr>
                  <w:r>
                    <w:rPr>
                      <w:rFonts w:ascii="Arial" w:hAnsi="Arial" w:cs="Arial"/>
                      <w:noProof/>
                      <w:sz w:val="16"/>
                      <w:szCs w:val="16"/>
                    </w:rPr>
                    <w:drawing>
                      <wp:anchor distT="0" distB="0" distL="114300" distR="114300" simplePos="0" relativeHeight="251686912" behindDoc="0" locked="0" layoutInCell="1" allowOverlap="1" wp14:anchorId="212D6E52" wp14:editId="66EDF92F">
                        <wp:simplePos x="0" y="0"/>
                        <wp:positionH relativeFrom="column">
                          <wp:posOffset>4577715</wp:posOffset>
                        </wp:positionH>
                        <wp:positionV relativeFrom="paragraph">
                          <wp:posOffset>-1021080</wp:posOffset>
                        </wp:positionV>
                        <wp:extent cx="762000"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footer color.jpg"/>
                                <pic:cNvPicPr/>
                              </pic:nvPicPr>
                              <pic:blipFill rotWithShape="1">
                                <a:blip r:embed="rId25" cstate="print">
                                  <a:extLst>
                                    <a:ext uri="{28A0092B-C50C-407E-A947-70E740481C1C}">
                                      <a14:useLocalDpi xmlns:a14="http://schemas.microsoft.com/office/drawing/2010/main" val="0"/>
                                    </a:ext>
                                  </a:extLst>
                                </a:blip>
                                <a:srcRect l="69558" t="19380" r="16837" b="12786"/>
                                <a:stretch/>
                              </pic:blipFill>
                              <pic:spPr bwMode="auto">
                                <a:xfrm>
                                  <a:off x="0" y="0"/>
                                  <a:ext cx="76200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sz w:val="21"/>
                      <w:szCs w:val="21"/>
                    </w:rPr>
                    <w:drawing>
                      <wp:anchor distT="0" distB="0" distL="114300" distR="114300" simplePos="0" relativeHeight="251687936" behindDoc="0" locked="0" layoutInCell="1" allowOverlap="1" wp14:anchorId="527D5F28" wp14:editId="2EB86EA1">
                        <wp:simplePos x="0" y="0"/>
                        <wp:positionH relativeFrom="column">
                          <wp:posOffset>4725035</wp:posOffset>
                        </wp:positionH>
                        <wp:positionV relativeFrom="paragraph">
                          <wp:posOffset>-588010</wp:posOffset>
                        </wp:positionV>
                        <wp:extent cx="586740" cy="501650"/>
                        <wp:effectExtent l="0" t="0" r="3810" b="0"/>
                        <wp:wrapSquare wrapText="bothSides"/>
                        <wp:docPr id="4" name="Picture 4" descr="H:\_ AVANGRID\2020 World's Most Ethical Logos\WME 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 AVANGRID\2020 World's Most Ethical Logos\WME 2019-202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67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75" w:rsidRPr="001D62F6" w:rsidRDefault="003C6475" w:rsidP="19BA1CF9">
                  <w:pPr>
                    <w:pStyle w:val="Default"/>
                    <w:ind w:left="-113"/>
                    <w:rPr>
                      <w:rFonts w:ascii="Arial" w:eastAsia="Arial" w:hAnsi="Arial" w:cs="Arial"/>
                      <w:sz w:val="18"/>
                      <w:szCs w:val="18"/>
                    </w:rPr>
                  </w:pPr>
                </w:p>
              </w:tc>
            </w:tr>
          </w:tbl>
          <w:p w:rsidR="001D62F6" w:rsidRDefault="001D62F6" w:rsidP="00E42313">
            <w:pPr>
              <w:spacing w:line="360" w:lineRule="auto"/>
            </w:pPr>
          </w:p>
          <w:p w:rsidR="003C6475" w:rsidRPr="003C6475" w:rsidRDefault="1D3A161A" w:rsidP="3EF09E25">
            <w:pPr>
              <w:spacing w:line="360" w:lineRule="auto"/>
            </w:pPr>
            <w:r w:rsidRPr="3EF09E25">
              <w:rPr>
                <w:rFonts w:ascii="Arial" w:eastAsia="Arial" w:hAnsi="Arial" w:cs="Arial"/>
                <w:i/>
                <w:iCs/>
                <w:sz w:val="21"/>
                <w:szCs w:val="21"/>
              </w:rPr>
              <w:t xml:space="preserve">Learn about the Iberdrola Group’s global pandemic response at its </w:t>
            </w:r>
            <w:hyperlink r:id="rId27">
              <w:r w:rsidRPr="3EF09E25">
                <w:rPr>
                  <w:rStyle w:val="Hyperlink"/>
                  <w:rFonts w:ascii="Arial" w:eastAsia="Arial" w:hAnsi="Arial" w:cs="Arial"/>
                  <w:b/>
                  <w:bCs/>
                  <w:i/>
                  <w:iCs/>
                  <w:color w:val="0000FF"/>
                  <w:sz w:val="21"/>
                  <w:szCs w:val="21"/>
                </w:rPr>
                <w:t>COVID-19 Hub</w:t>
              </w:r>
            </w:hyperlink>
            <w:r w:rsidRPr="3EF09E25">
              <w:rPr>
                <w:rFonts w:ascii="Arial" w:eastAsia="Arial" w:hAnsi="Arial" w:cs="Arial"/>
                <w:b/>
                <w:bCs/>
                <w:i/>
                <w:iCs/>
                <w:color w:val="0000FF"/>
                <w:sz w:val="21"/>
                <w:szCs w:val="21"/>
                <w:u w:val="single"/>
              </w:rPr>
              <w:t>.</w:t>
            </w:r>
            <w:r w:rsidRPr="3EF09E25">
              <w:rPr>
                <w:rFonts w:ascii="Arial" w:hAnsi="Arial" w:cs="Arial"/>
                <w:b/>
                <w:bCs/>
                <w:sz w:val="21"/>
                <w:szCs w:val="21"/>
              </w:rPr>
              <w:t xml:space="preserve"> </w:t>
            </w:r>
          </w:p>
          <w:p w:rsidR="003C6475" w:rsidRPr="003C6475" w:rsidRDefault="003C6475" w:rsidP="3EF09E25">
            <w:pPr>
              <w:pStyle w:val="Default"/>
              <w:spacing w:line="360" w:lineRule="auto"/>
              <w:rPr>
                <w:rFonts w:ascii="Arial" w:hAnsi="Arial" w:cs="Arial"/>
                <w:b/>
                <w:bCs/>
                <w:sz w:val="21"/>
                <w:szCs w:val="21"/>
              </w:rPr>
            </w:pPr>
          </w:p>
          <w:p w:rsidR="003C6475" w:rsidRPr="003C6475" w:rsidRDefault="003C6475" w:rsidP="003C6475">
            <w:pPr>
              <w:pStyle w:val="Default"/>
              <w:spacing w:line="360" w:lineRule="auto"/>
              <w:rPr>
                <w:rFonts w:ascii="Arial" w:hAnsi="Arial" w:cs="Arial"/>
                <w:sz w:val="21"/>
                <w:szCs w:val="21"/>
              </w:rPr>
            </w:pPr>
            <w:r w:rsidRPr="3EF09E25">
              <w:rPr>
                <w:rFonts w:ascii="Arial" w:hAnsi="Arial" w:cs="Arial"/>
                <w:b/>
                <w:bCs/>
                <w:sz w:val="21"/>
                <w:szCs w:val="21"/>
              </w:rPr>
              <w:t xml:space="preserve">Media Contacts: </w:t>
            </w:r>
          </w:p>
          <w:p w:rsidR="00FC5F1F" w:rsidRPr="00FC5F1F" w:rsidRDefault="00DA77BB" w:rsidP="00FC5F1F">
            <w:pPr>
              <w:pStyle w:val="Default"/>
              <w:numPr>
                <w:ilvl w:val="0"/>
                <w:numId w:val="1"/>
              </w:numPr>
              <w:spacing w:after="120"/>
              <w:ind w:left="714" w:hanging="357"/>
              <w:rPr>
                <w:rFonts w:ascii="Arial" w:hAnsi="Arial" w:cs="Arial"/>
                <w:sz w:val="21"/>
                <w:szCs w:val="21"/>
              </w:rPr>
            </w:pPr>
            <w:r w:rsidRPr="00FC5F1F">
              <w:rPr>
                <w:rFonts w:ascii="Arial" w:hAnsi="Arial" w:cs="Arial"/>
                <w:b/>
                <w:bCs/>
                <w:sz w:val="21"/>
                <w:szCs w:val="21"/>
              </w:rPr>
              <w:t>Ed Crowder</w:t>
            </w:r>
            <w:r w:rsidR="00A30336" w:rsidRPr="00FC5F1F">
              <w:rPr>
                <w:rFonts w:ascii="Arial" w:hAnsi="Arial" w:cs="Arial"/>
                <w:b/>
                <w:bCs/>
                <w:sz w:val="21"/>
                <w:szCs w:val="21"/>
              </w:rPr>
              <w:br/>
            </w:r>
            <w:hyperlink r:id="rId28" w:history="1">
              <w:r w:rsidR="00FC5F1F" w:rsidRPr="00FC5F1F">
                <w:rPr>
                  <w:rStyle w:val="Hyperlink"/>
                  <w:rFonts w:ascii="Arial" w:hAnsi="Arial" w:cs="Arial"/>
                  <w:sz w:val="21"/>
                  <w:szCs w:val="21"/>
                </w:rPr>
                <w:t>ed.crowder@avangrid.com</w:t>
              </w:r>
            </w:hyperlink>
            <w:r w:rsidR="00FC5F1F" w:rsidRPr="00FC5F1F">
              <w:rPr>
                <w:rFonts w:ascii="Arial" w:hAnsi="Arial" w:cs="Arial"/>
                <w:sz w:val="21"/>
                <w:szCs w:val="21"/>
              </w:rPr>
              <w:t xml:space="preserve"> </w:t>
            </w:r>
            <w:r w:rsidR="00FC5F1F" w:rsidRPr="00FC5F1F">
              <w:rPr>
                <w:rFonts w:ascii="Arial" w:hAnsi="Arial" w:cs="Arial"/>
                <w:sz w:val="21"/>
                <w:szCs w:val="21"/>
              </w:rPr>
              <w:br/>
            </w:r>
            <w:r w:rsidR="00A30336" w:rsidRPr="00FC5F1F">
              <w:rPr>
                <w:rFonts w:ascii="Arial" w:hAnsi="Arial" w:cs="Arial"/>
                <w:sz w:val="21"/>
                <w:szCs w:val="21"/>
              </w:rPr>
              <w:t>203.499.</w:t>
            </w:r>
            <w:r w:rsidRPr="00FC5F1F">
              <w:rPr>
                <w:rFonts w:ascii="Arial" w:hAnsi="Arial" w:cs="Arial"/>
                <w:sz w:val="21"/>
                <w:szCs w:val="21"/>
              </w:rPr>
              <w:t>2537</w:t>
            </w:r>
            <w:r w:rsidR="00FC5F1F" w:rsidRPr="00FC5F1F">
              <w:rPr>
                <w:rFonts w:ascii="Arial" w:hAnsi="Arial" w:cs="Arial"/>
                <w:bCs/>
                <w:sz w:val="21"/>
                <w:szCs w:val="21"/>
              </w:rPr>
              <w:t>(business hours)</w:t>
            </w:r>
          </w:p>
          <w:p w:rsidR="00A30336" w:rsidRPr="00FC5F1F" w:rsidRDefault="00FC5F1F" w:rsidP="00FC5F1F">
            <w:pPr>
              <w:pStyle w:val="Default"/>
              <w:numPr>
                <w:ilvl w:val="0"/>
                <w:numId w:val="1"/>
              </w:numPr>
              <w:rPr>
                <w:rFonts w:ascii="Arial" w:hAnsi="Arial" w:cs="Arial"/>
                <w:sz w:val="21"/>
                <w:szCs w:val="21"/>
              </w:rPr>
            </w:pPr>
            <w:r w:rsidRPr="00FC5F1F">
              <w:rPr>
                <w:rFonts w:ascii="Arial" w:hAnsi="Arial" w:cs="Arial"/>
                <w:b/>
                <w:bCs/>
                <w:sz w:val="21"/>
                <w:szCs w:val="21"/>
              </w:rPr>
              <w:t>24/7 Media Hotline</w:t>
            </w:r>
            <w:r w:rsidRPr="00FC5F1F">
              <w:rPr>
                <w:rFonts w:ascii="Arial" w:hAnsi="Arial" w:cs="Arial"/>
                <w:b/>
                <w:bCs/>
                <w:sz w:val="21"/>
                <w:szCs w:val="21"/>
              </w:rPr>
              <w:br/>
            </w:r>
            <w:r w:rsidRPr="00FC5F1F">
              <w:rPr>
                <w:rFonts w:ascii="Arial" w:hAnsi="Arial" w:cs="Arial"/>
                <w:bCs/>
                <w:sz w:val="21"/>
                <w:szCs w:val="21"/>
              </w:rPr>
              <w:t>833.MEDIA.55 (833.633.4255)</w:t>
            </w:r>
          </w:p>
          <w:p w:rsidR="003C6475" w:rsidRPr="003C6475" w:rsidRDefault="003C6475" w:rsidP="003C6475">
            <w:pPr>
              <w:pStyle w:val="Default"/>
              <w:spacing w:line="360" w:lineRule="auto"/>
              <w:rPr>
                <w:rFonts w:ascii="Arial" w:hAnsi="Arial" w:cs="Arial"/>
                <w:color w:val="auto"/>
                <w:sz w:val="21"/>
                <w:szCs w:val="21"/>
              </w:rPr>
            </w:pPr>
          </w:p>
          <w:p w:rsidR="00E42313" w:rsidRDefault="00E42313" w:rsidP="00E42313">
            <w:pPr>
              <w:spacing w:line="360" w:lineRule="auto"/>
            </w:pPr>
          </w:p>
          <w:p w:rsidR="00E42313" w:rsidRDefault="00E42313" w:rsidP="00427F64">
            <w:pPr>
              <w:spacing w:line="360" w:lineRule="auto"/>
            </w:pPr>
          </w:p>
          <w:p w:rsidR="00427F64" w:rsidRDefault="00427F64"/>
        </w:tc>
      </w:tr>
      <w:tr w:rsidR="00FC5F1F" w:rsidTr="19BA1CF9">
        <w:tc>
          <w:tcPr>
            <w:tcW w:w="8748" w:type="dxa"/>
          </w:tcPr>
          <w:p w:rsidR="00FC5F1F" w:rsidRPr="003C6475" w:rsidRDefault="00FC5F1F" w:rsidP="00E42313">
            <w:pPr>
              <w:autoSpaceDE w:val="0"/>
              <w:autoSpaceDN w:val="0"/>
              <w:adjustRightInd w:val="0"/>
              <w:rPr>
                <w:rFonts w:ascii="Arial" w:hAnsi="Arial"/>
                <w:sz w:val="21"/>
                <w:szCs w:val="21"/>
              </w:rPr>
            </w:pPr>
          </w:p>
        </w:tc>
      </w:tr>
    </w:tbl>
    <w:p w:rsidR="00427F64" w:rsidRDefault="00427F64"/>
    <w:sectPr w:rsidR="00427F64" w:rsidSect="00427F64">
      <w:headerReference w:type="even" r:id="rId29"/>
      <w:headerReference w:type="default" r:id="rId30"/>
      <w:footerReference w:type="even" r:id="rId31"/>
      <w:footerReference w:type="default" r:id="rId32"/>
      <w:headerReference w:type="first" r:id="rId33"/>
      <w:footerReference w:type="first" r:id="rId34"/>
      <w:pgSz w:w="12240" w:h="15840"/>
      <w:pgMar w:top="1152" w:right="1800" w:bottom="576"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F7" w:rsidRDefault="00427FF7" w:rsidP="00351E22">
      <w:r>
        <w:separator/>
      </w:r>
    </w:p>
  </w:endnote>
  <w:endnote w:type="continuationSeparator" w:id="0">
    <w:p w:rsidR="00427FF7" w:rsidRDefault="00427FF7" w:rsidP="0035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C" w:rsidRDefault="00F20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C" w:rsidRDefault="00F20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C" w:rsidRDefault="00F20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F7" w:rsidRDefault="00427FF7" w:rsidP="00351E22">
      <w:r>
        <w:separator/>
      </w:r>
    </w:p>
  </w:footnote>
  <w:footnote w:type="continuationSeparator" w:id="0">
    <w:p w:rsidR="00427FF7" w:rsidRDefault="00427FF7" w:rsidP="0035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C" w:rsidRDefault="00F20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C" w:rsidRDefault="00F20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C" w:rsidRDefault="00F20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4BDE"/>
    <w:multiLevelType w:val="hybridMultilevel"/>
    <w:tmpl w:val="ABF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64"/>
    <w:rsid w:val="00031B0D"/>
    <w:rsid w:val="00031C6B"/>
    <w:rsid w:val="00042155"/>
    <w:rsid w:val="00061678"/>
    <w:rsid w:val="000656BC"/>
    <w:rsid w:val="000B13EC"/>
    <w:rsid w:val="00146DA9"/>
    <w:rsid w:val="00162E4B"/>
    <w:rsid w:val="00184152"/>
    <w:rsid w:val="001C496C"/>
    <w:rsid w:val="001D578A"/>
    <w:rsid w:val="001D62F6"/>
    <w:rsid w:val="001E774D"/>
    <w:rsid w:val="001F7AF8"/>
    <w:rsid w:val="00256BAC"/>
    <w:rsid w:val="00257323"/>
    <w:rsid w:val="002809DE"/>
    <w:rsid w:val="002857CE"/>
    <w:rsid w:val="00297567"/>
    <w:rsid w:val="002A5582"/>
    <w:rsid w:val="00326182"/>
    <w:rsid w:val="00351E22"/>
    <w:rsid w:val="003622D9"/>
    <w:rsid w:val="0036547D"/>
    <w:rsid w:val="00372DC9"/>
    <w:rsid w:val="003822E6"/>
    <w:rsid w:val="003943F8"/>
    <w:rsid w:val="003C6475"/>
    <w:rsid w:val="003D544C"/>
    <w:rsid w:val="003E505D"/>
    <w:rsid w:val="0041576A"/>
    <w:rsid w:val="00425255"/>
    <w:rsid w:val="00427F64"/>
    <w:rsid w:val="00427FF7"/>
    <w:rsid w:val="004A783B"/>
    <w:rsid w:val="00584597"/>
    <w:rsid w:val="005A51CF"/>
    <w:rsid w:val="005C515A"/>
    <w:rsid w:val="00666451"/>
    <w:rsid w:val="00672033"/>
    <w:rsid w:val="006B2BE9"/>
    <w:rsid w:val="006E75A5"/>
    <w:rsid w:val="0074771B"/>
    <w:rsid w:val="007A5873"/>
    <w:rsid w:val="007E08C1"/>
    <w:rsid w:val="00801A96"/>
    <w:rsid w:val="008235BA"/>
    <w:rsid w:val="00835D9A"/>
    <w:rsid w:val="008713F8"/>
    <w:rsid w:val="008B30B5"/>
    <w:rsid w:val="008B5CA4"/>
    <w:rsid w:val="008D1186"/>
    <w:rsid w:val="00A30336"/>
    <w:rsid w:val="00A340BE"/>
    <w:rsid w:val="00A37075"/>
    <w:rsid w:val="00A539DA"/>
    <w:rsid w:val="00A6691E"/>
    <w:rsid w:val="00AB15A2"/>
    <w:rsid w:val="00B02F86"/>
    <w:rsid w:val="00B32ACC"/>
    <w:rsid w:val="00B94B35"/>
    <w:rsid w:val="00B94CBE"/>
    <w:rsid w:val="00BBA846"/>
    <w:rsid w:val="00C0215D"/>
    <w:rsid w:val="00C05A16"/>
    <w:rsid w:val="00C227DA"/>
    <w:rsid w:val="00C41AC5"/>
    <w:rsid w:val="00C66760"/>
    <w:rsid w:val="00C90B08"/>
    <w:rsid w:val="00C922E8"/>
    <w:rsid w:val="00CC0DAB"/>
    <w:rsid w:val="00D0137D"/>
    <w:rsid w:val="00D17C7C"/>
    <w:rsid w:val="00D54F1D"/>
    <w:rsid w:val="00D6782A"/>
    <w:rsid w:val="00D73FA5"/>
    <w:rsid w:val="00DA2731"/>
    <w:rsid w:val="00DA77BB"/>
    <w:rsid w:val="00DD43AB"/>
    <w:rsid w:val="00DE35C1"/>
    <w:rsid w:val="00E42313"/>
    <w:rsid w:val="00E5120C"/>
    <w:rsid w:val="00E94109"/>
    <w:rsid w:val="00F05F77"/>
    <w:rsid w:val="00F20A9C"/>
    <w:rsid w:val="00F44024"/>
    <w:rsid w:val="00F84E64"/>
    <w:rsid w:val="00FB691F"/>
    <w:rsid w:val="00FC5F1F"/>
    <w:rsid w:val="00FE69E6"/>
    <w:rsid w:val="00FF5119"/>
    <w:rsid w:val="05EE626C"/>
    <w:rsid w:val="07A1EDEF"/>
    <w:rsid w:val="0890BBF5"/>
    <w:rsid w:val="0C4038FC"/>
    <w:rsid w:val="1265CF3B"/>
    <w:rsid w:val="19BA1CF9"/>
    <w:rsid w:val="1D3A161A"/>
    <w:rsid w:val="1E97BEFA"/>
    <w:rsid w:val="2AFCA68D"/>
    <w:rsid w:val="3BFFE3DB"/>
    <w:rsid w:val="3C8D52BC"/>
    <w:rsid w:val="3EF09E25"/>
    <w:rsid w:val="46D1C1E8"/>
    <w:rsid w:val="4A8319FF"/>
    <w:rsid w:val="517C2C94"/>
    <w:rsid w:val="6B58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7F64"/>
    <w:rPr>
      <w:rFonts w:ascii="Tahoma" w:hAnsi="Tahoma" w:cs="Tahoma"/>
      <w:sz w:val="16"/>
      <w:szCs w:val="16"/>
    </w:rPr>
  </w:style>
  <w:style w:type="character" w:customStyle="1" w:styleId="BalloonTextChar">
    <w:name w:val="Balloon Text Char"/>
    <w:basedOn w:val="DefaultParagraphFont"/>
    <w:link w:val="BalloonText"/>
    <w:rsid w:val="00427F64"/>
    <w:rPr>
      <w:rFonts w:ascii="Tahoma" w:hAnsi="Tahoma" w:cs="Tahoma"/>
      <w:sz w:val="16"/>
      <w:szCs w:val="16"/>
    </w:rPr>
  </w:style>
  <w:style w:type="paragraph" w:customStyle="1" w:styleId="Default">
    <w:name w:val="Default"/>
    <w:rsid w:val="001D62F6"/>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3C6475"/>
    <w:rPr>
      <w:color w:val="0000FF" w:themeColor="hyperlink"/>
      <w:u w:val="single"/>
    </w:rPr>
  </w:style>
  <w:style w:type="paragraph" w:styleId="Header">
    <w:name w:val="header"/>
    <w:basedOn w:val="Normal"/>
    <w:link w:val="HeaderChar"/>
    <w:rsid w:val="000656BC"/>
    <w:pPr>
      <w:tabs>
        <w:tab w:val="center" w:pos="4320"/>
        <w:tab w:val="right" w:pos="8640"/>
      </w:tabs>
    </w:pPr>
    <w:rPr>
      <w:szCs w:val="20"/>
    </w:rPr>
  </w:style>
  <w:style w:type="character" w:customStyle="1" w:styleId="HeaderChar">
    <w:name w:val="Header Char"/>
    <w:basedOn w:val="DefaultParagraphFont"/>
    <w:link w:val="Header"/>
    <w:rsid w:val="000656BC"/>
    <w:rPr>
      <w:sz w:val="24"/>
    </w:rPr>
  </w:style>
  <w:style w:type="paragraph" w:styleId="Footer">
    <w:name w:val="footer"/>
    <w:basedOn w:val="Normal"/>
    <w:link w:val="FooterChar"/>
    <w:rsid w:val="00351E22"/>
    <w:pPr>
      <w:tabs>
        <w:tab w:val="center" w:pos="4680"/>
        <w:tab w:val="right" w:pos="9360"/>
      </w:tabs>
    </w:pPr>
  </w:style>
  <w:style w:type="character" w:customStyle="1" w:styleId="FooterChar">
    <w:name w:val="Footer Char"/>
    <w:basedOn w:val="DefaultParagraphFont"/>
    <w:link w:val="Footer"/>
    <w:rsid w:val="00351E22"/>
    <w:rPr>
      <w:sz w:val="24"/>
      <w:szCs w:val="24"/>
    </w:rPr>
  </w:style>
  <w:style w:type="character" w:styleId="CommentReference">
    <w:name w:val="annotation reference"/>
    <w:basedOn w:val="DefaultParagraphFont"/>
    <w:rsid w:val="00FB691F"/>
    <w:rPr>
      <w:sz w:val="16"/>
      <w:szCs w:val="16"/>
    </w:rPr>
  </w:style>
  <w:style w:type="paragraph" w:styleId="CommentText">
    <w:name w:val="annotation text"/>
    <w:basedOn w:val="Normal"/>
    <w:link w:val="CommentTextChar"/>
    <w:rsid w:val="00FB691F"/>
    <w:rPr>
      <w:sz w:val="20"/>
      <w:szCs w:val="20"/>
    </w:rPr>
  </w:style>
  <w:style w:type="character" w:customStyle="1" w:styleId="CommentTextChar">
    <w:name w:val="Comment Text Char"/>
    <w:basedOn w:val="DefaultParagraphFont"/>
    <w:link w:val="CommentText"/>
    <w:rsid w:val="00FB691F"/>
  </w:style>
  <w:style w:type="paragraph" w:styleId="CommentSubject">
    <w:name w:val="annotation subject"/>
    <w:basedOn w:val="CommentText"/>
    <w:next w:val="CommentText"/>
    <w:link w:val="CommentSubjectChar"/>
    <w:rsid w:val="00FB691F"/>
    <w:rPr>
      <w:b/>
      <w:bCs/>
    </w:rPr>
  </w:style>
  <w:style w:type="character" w:customStyle="1" w:styleId="CommentSubjectChar">
    <w:name w:val="Comment Subject Char"/>
    <w:basedOn w:val="CommentTextChar"/>
    <w:link w:val="CommentSubject"/>
    <w:rsid w:val="00FB6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7F64"/>
    <w:rPr>
      <w:rFonts w:ascii="Tahoma" w:hAnsi="Tahoma" w:cs="Tahoma"/>
      <w:sz w:val="16"/>
      <w:szCs w:val="16"/>
    </w:rPr>
  </w:style>
  <w:style w:type="character" w:customStyle="1" w:styleId="BalloonTextChar">
    <w:name w:val="Balloon Text Char"/>
    <w:basedOn w:val="DefaultParagraphFont"/>
    <w:link w:val="BalloonText"/>
    <w:rsid w:val="00427F64"/>
    <w:rPr>
      <w:rFonts w:ascii="Tahoma" w:hAnsi="Tahoma" w:cs="Tahoma"/>
      <w:sz w:val="16"/>
      <w:szCs w:val="16"/>
    </w:rPr>
  </w:style>
  <w:style w:type="paragraph" w:customStyle="1" w:styleId="Default">
    <w:name w:val="Default"/>
    <w:rsid w:val="001D62F6"/>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3C6475"/>
    <w:rPr>
      <w:color w:val="0000FF" w:themeColor="hyperlink"/>
      <w:u w:val="single"/>
    </w:rPr>
  </w:style>
  <w:style w:type="paragraph" w:styleId="Header">
    <w:name w:val="header"/>
    <w:basedOn w:val="Normal"/>
    <w:link w:val="HeaderChar"/>
    <w:rsid w:val="000656BC"/>
    <w:pPr>
      <w:tabs>
        <w:tab w:val="center" w:pos="4320"/>
        <w:tab w:val="right" w:pos="8640"/>
      </w:tabs>
    </w:pPr>
    <w:rPr>
      <w:szCs w:val="20"/>
    </w:rPr>
  </w:style>
  <w:style w:type="character" w:customStyle="1" w:styleId="HeaderChar">
    <w:name w:val="Header Char"/>
    <w:basedOn w:val="DefaultParagraphFont"/>
    <w:link w:val="Header"/>
    <w:rsid w:val="000656BC"/>
    <w:rPr>
      <w:sz w:val="24"/>
    </w:rPr>
  </w:style>
  <w:style w:type="paragraph" w:styleId="Footer">
    <w:name w:val="footer"/>
    <w:basedOn w:val="Normal"/>
    <w:link w:val="FooterChar"/>
    <w:rsid w:val="00351E22"/>
    <w:pPr>
      <w:tabs>
        <w:tab w:val="center" w:pos="4680"/>
        <w:tab w:val="right" w:pos="9360"/>
      </w:tabs>
    </w:pPr>
  </w:style>
  <w:style w:type="character" w:customStyle="1" w:styleId="FooterChar">
    <w:name w:val="Footer Char"/>
    <w:basedOn w:val="DefaultParagraphFont"/>
    <w:link w:val="Footer"/>
    <w:rsid w:val="00351E22"/>
    <w:rPr>
      <w:sz w:val="24"/>
      <w:szCs w:val="24"/>
    </w:rPr>
  </w:style>
  <w:style w:type="character" w:styleId="CommentReference">
    <w:name w:val="annotation reference"/>
    <w:basedOn w:val="DefaultParagraphFont"/>
    <w:rsid w:val="00FB691F"/>
    <w:rPr>
      <w:sz w:val="16"/>
      <w:szCs w:val="16"/>
    </w:rPr>
  </w:style>
  <w:style w:type="paragraph" w:styleId="CommentText">
    <w:name w:val="annotation text"/>
    <w:basedOn w:val="Normal"/>
    <w:link w:val="CommentTextChar"/>
    <w:rsid w:val="00FB691F"/>
    <w:rPr>
      <w:sz w:val="20"/>
      <w:szCs w:val="20"/>
    </w:rPr>
  </w:style>
  <w:style w:type="character" w:customStyle="1" w:styleId="CommentTextChar">
    <w:name w:val="Comment Text Char"/>
    <w:basedOn w:val="DefaultParagraphFont"/>
    <w:link w:val="CommentText"/>
    <w:rsid w:val="00FB691F"/>
  </w:style>
  <w:style w:type="paragraph" w:styleId="CommentSubject">
    <w:name w:val="annotation subject"/>
    <w:basedOn w:val="CommentText"/>
    <w:next w:val="CommentText"/>
    <w:link w:val="CommentSubjectChar"/>
    <w:rsid w:val="00FB691F"/>
    <w:rPr>
      <w:b/>
      <w:bCs/>
    </w:rPr>
  </w:style>
  <w:style w:type="character" w:customStyle="1" w:styleId="CommentSubjectChar">
    <w:name w:val="Comment Subject Char"/>
    <w:basedOn w:val="CommentTextChar"/>
    <w:link w:val="CommentSubject"/>
    <w:rsid w:val="00FB6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6476">
      <w:bodyDiv w:val="1"/>
      <w:marLeft w:val="0"/>
      <w:marRight w:val="0"/>
      <w:marTop w:val="0"/>
      <w:marBottom w:val="0"/>
      <w:divBdr>
        <w:top w:val="none" w:sz="0" w:space="0" w:color="auto"/>
        <w:left w:val="none" w:sz="0" w:space="0" w:color="auto"/>
        <w:bottom w:val="none" w:sz="0" w:space="0" w:color="auto"/>
        <w:right w:val="none" w:sz="0" w:space="0" w:color="auto"/>
      </w:divBdr>
    </w:div>
    <w:div w:id="19743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portal.ct.gov/dss/Economic-Security/Winter-Heating-Assistance/Energy-Assistance---Winter-Heating"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www.uinet.com"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cafca.org/agencies/" TargetMode="External"/><Relationship Id="rId25" Type="http://schemas.openxmlformats.org/officeDocument/2006/relationships/image" Target="media/image3.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ngcorp.com/" TargetMode="External"/><Relationship Id="rId20" Type="http://schemas.openxmlformats.org/officeDocument/2006/relationships/hyperlink" Target="http://www.avangrid.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vangrid.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oconngas.com/" TargetMode="External"/><Relationship Id="rId23" Type="http://schemas.openxmlformats.org/officeDocument/2006/relationships/hyperlink" Target="http://www.cngcorp.com" TargetMode="External"/><Relationship Id="rId28" Type="http://schemas.openxmlformats.org/officeDocument/2006/relationships/hyperlink" Target="mailto:ed.crowder@avangrid.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operationfuel.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inet.com/" TargetMode="External"/><Relationship Id="rId22" Type="http://schemas.openxmlformats.org/officeDocument/2006/relationships/hyperlink" Target="http://www.soconngas.com" TargetMode="External"/><Relationship Id="rId27" Type="http://schemas.openxmlformats.org/officeDocument/2006/relationships/hyperlink" Target="https://www.iberdrola.com/social-commitment/coronavirus-iberdrola-global-response?utm_source=internal&amp;utm_medium=referral&amp;utm_campaign=contenidoglobal-abr2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558DC7EBC1247AF2BC5AEC22C81C7" ma:contentTypeVersion="12" ma:contentTypeDescription="Create a new document." ma:contentTypeScope="" ma:versionID="3b1370a90b2da1a488e01130e6081269">
  <xsd:schema xmlns:xsd="http://www.w3.org/2001/XMLSchema" xmlns:xs="http://www.w3.org/2001/XMLSchema" xmlns:p="http://schemas.microsoft.com/office/2006/metadata/properties" xmlns:ns2="23f251e6-dac5-4e84-b064-9e497e87e6ff" xmlns:ns3="66b87386-d645-45d2-963c-36c68375276f" targetNamespace="http://schemas.microsoft.com/office/2006/metadata/properties" ma:root="true" ma:fieldsID="3111a7b1a87aa85b072568635f8024f6" ns2:_="" ns3:_="">
    <xsd:import namespace="23f251e6-dac5-4e84-b064-9e497e87e6ff"/>
    <xsd:import namespace="66b87386-d645-45d2-963c-36c683752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251e6-dac5-4e84-b064-9e497e87e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87386-d645-45d2-963c-36c6837527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C758-2B3D-4D9E-B13A-4FBD3371E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251e6-dac5-4e84-b064-9e497e87e6ff"/>
    <ds:schemaRef ds:uri="66b87386-d645-45d2-963c-36c68375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CB339-A82C-40A5-8576-9A47BA34F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D2C24F-94E0-4193-A00D-6942C56752DC}">
  <ds:schemaRefs>
    <ds:schemaRef ds:uri="http://schemas.microsoft.com/sharepoint/v3/contenttype/forms"/>
  </ds:schemaRefs>
</ds:datastoreItem>
</file>

<file path=customXml/itemProps4.xml><?xml version="1.0" encoding="utf-8"?>
<ds:datastoreItem xmlns:ds="http://schemas.openxmlformats.org/officeDocument/2006/customXml" ds:itemID="{D003AA89-16D2-4024-9684-9F0155E0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1101</Words>
  <Characters>6221</Characters>
  <Application>Microsoft Office Word</Application>
  <DocSecurity>0</DocSecurity>
  <Lines>248</Lines>
  <Paragraphs>118</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smithr2</dc:creator>
  <cp:lastModifiedBy>Edward Crowder</cp:lastModifiedBy>
  <cp:revision>3</cp:revision>
  <dcterms:created xsi:type="dcterms:W3CDTF">2020-09-08T12:50:00Z</dcterms:created>
  <dcterms:modified xsi:type="dcterms:W3CDTF">2020-09-08T12:53:00Z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0x0101001BB558DC7EBC1247AF2BC5AEC22C81C7</vt:lpwstr>
  </property>
</Properties>
</file>